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A3C3" w14:textId="77777777" w:rsidR="008470E0" w:rsidRDefault="008470E0" w:rsidP="008470E0">
      <w:pPr>
        <w:spacing w:after="480"/>
      </w:pPr>
      <w:r>
        <w:rPr>
          <w:rFonts w:ascii="Arial Black" w:hAnsi="Arial Black"/>
          <w:noProof/>
          <w:color w:val="999999"/>
          <w:sz w:val="36"/>
          <w:szCs w:val="36"/>
          <w:lang w:eastAsia="en-GB"/>
        </w:rPr>
        <w:drawing>
          <wp:inline distT="0" distB="0" distL="0" distR="0" wp14:anchorId="1CB5716E" wp14:editId="77CD5D67">
            <wp:extent cx="2009775" cy="495935"/>
            <wp:effectExtent l="0" t="0" r="9525" b="0"/>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pPr w:leftFromText="180" w:rightFromText="180" w:vertAnchor="text" w:tblpXSpec="right" w:tblpY="1"/>
        <w:tblOverlap w:val="never"/>
        <w:tblW w:w="0" w:type="auto"/>
        <w:tblLook w:val="0000" w:firstRow="0" w:lastRow="0" w:firstColumn="0" w:lastColumn="0" w:noHBand="0" w:noVBand="0"/>
        <w:tblCaption w:val="Cabinet report summary details"/>
      </w:tblPr>
      <w:tblGrid>
        <w:gridCol w:w="3397"/>
        <w:gridCol w:w="4912"/>
      </w:tblGrid>
      <w:tr w:rsidR="008470E0" w14:paraId="0149C9DF" w14:textId="77777777" w:rsidTr="008470E0">
        <w:trPr>
          <w:tblHeader/>
        </w:trPr>
        <w:tc>
          <w:tcPr>
            <w:tcW w:w="3456" w:type="dxa"/>
            <w:tcBorders>
              <w:bottom w:val="single" w:sz="18" w:space="0" w:color="auto"/>
            </w:tcBorders>
          </w:tcPr>
          <w:p w14:paraId="311A4B7A" w14:textId="77777777" w:rsidR="008470E0" w:rsidRPr="00B805DB" w:rsidRDefault="008470E0" w:rsidP="008470E0">
            <w:pPr>
              <w:pStyle w:val="Heading1"/>
              <w:spacing w:after="240"/>
              <w:outlineLvl w:val="0"/>
            </w:pPr>
            <w:r>
              <w:t>Report f</w:t>
            </w:r>
            <w:r w:rsidRPr="00C869F3">
              <w:t>or:</w:t>
            </w:r>
          </w:p>
        </w:tc>
        <w:tc>
          <w:tcPr>
            <w:tcW w:w="5054" w:type="dxa"/>
            <w:tcBorders>
              <w:bottom w:val="single" w:sz="18" w:space="0" w:color="auto"/>
            </w:tcBorders>
          </w:tcPr>
          <w:p w14:paraId="58CE66C7" w14:textId="77777777" w:rsidR="008470E0" w:rsidRPr="005E3A10" w:rsidRDefault="008470E0" w:rsidP="008470E0">
            <w:pPr>
              <w:pStyle w:val="Heading1"/>
              <w:outlineLvl w:val="0"/>
              <w:rPr>
                <w:szCs w:val="24"/>
              </w:rPr>
            </w:pPr>
            <w:r w:rsidRPr="005E3A10">
              <w:t>Cabinet</w:t>
            </w:r>
          </w:p>
        </w:tc>
      </w:tr>
      <w:tr w:rsidR="008470E0" w14:paraId="2CA84459" w14:textId="77777777" w:rsidTr="008470E0">
        <w:tc>
          <w:tcPr>
            <w:tcW w:w="3456" w:type="dxa"/>
            <w:tcBorders>
              <w:top w:val="single" w:sz="18" w:space="0" w:color="auto"/>
            </w:tcBorders>
          </w:tcPr>
          <w:p w14:paraId="06D220DE" w14:textId="77777777" w:rsidR="008470E0" w:rsidRPr="00C13A5F" w:rsidRDefault="008470E0" w:rsidP="008470E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643A89C" w14:textId="77777777" w:rsidR="008470E0" w:rsidRPr="005E3A10" w:rsidRDefault="008470E0" w:rsidP="008470E0">
            <w:pPr>
              <w:rPr>
                <w:rFonts w:cs="Arial"/>
                <w:szCs w:val="24"/>
              </w:rPr>
            </w:pPr>
            <w:r>
              <w:rPr>
                <w:rFonts w:cs="Arial"/>
                <w:szCs w:val="24"/>
              </w:rPr>
              <w:t>23 September 2021</w:t>
            </w:r>
          </w:p>
        </w:tc>
      </w:tr>
      <w:tr w:rsidR="008470E0" w14:paraId="0313C517" w14:textId="77777777" w:rsidTr="008470E0">
        <w:tc>
          <w:tcPr>
            <w:tcW w:w="3456" w:type="dxa"/>
          </w:tcPr>
          <w:p w14:paraId="4E52DA0E" w14:textId="77777777" w:rsidR="008470E0" w:rsidRPr="00C13A5F" w:rsidRDefault="008470E0" w:rsidP="008470E0">
            <w:pPr>
              <w:pStyle w:val="Infotext"/>
              <w:spacing w:after="240"/>
              <w:rPr>
                <w:rFonts w:ascii="Arial Black" w:hAnsi="Arial Black"/>
              </w:rPr>
            </w:pPr>
            <w:r w:rsidRPr="00C13A5F">
              <w:rPr>
                <w:rFonts w:ascii="Arial Black" w:hAnsi="Arial Black" w:cs="Arial"/>
              </w:rPr>
              <w:t>Subject:</w:t>
            </w:r>
          </w:p>
        </w:tc>
        <w:tc>
          <w:tcPr>
            <w:tcW w:w="5054" w:type="dxa"/>
          </w:tcPr>
          <w:p w14:paraId="5B842F1D" w14:textId="77777777" w:rsidR="008470E0" w:rsidRDefault="008470E0" w:rsidP="008470E0">
            <w:pPr>
              <w:rPr>
                <w:rFonts w:cs="Arial"/>
                <w:szCs w:val="24"/>
              </w:rPr>
            </w:pPr>
            <w:r>
              <w:rPr>
                <w:rFonts w:cs="Arial"/>
                <w:szCs w:val="24"/>
              </w:rPr>
              <w:t>Q1 Revenue and Capital Monitoring 2021/22</w:t>
            </w:r>
          </w:p>
          <w:p w14:paraId="7910582E" w14:textId="77777777" w:rsidR="008470E0" w:rsidRPr="005E3A10" w:rsidRDefault="008470E0" w:rsidP="008470E0">
            <w:pPr>
              <w:rPr>
                <w:rFonts w:cs="Arial"/>
                <w:szCs w:val="24"/>
              </w:rPr>
            </w:pPr>
          </w:p>
        </w:tc>
      </w:tr>
      <w:tr w:rsidR="008470E0" w14:paraId="4C803C95" w14:textId="77777777" w:rsidTr="008470E0">
        <w:tc>
          <w:tcPr>
            <w:tcW w:w="3456" w:type="dxa"/>
          </w:tcPr>
          <w:p w14:paraId="287CB7E2"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Key Decision:</w:t>
            </w:r>
          </w:p>
        </w:tc>
        <w:tc>
          <w:tcPr>
            <w:tcW w:w="5054" w:type="dxa"/>
          </w:tcPr>
          <w:p w14:paraId="53A7193E" w14:textId="77777777" w:rsidR="008470E0" w:rsidRPr="005E3A10" w:rsidRDefault="008470E0" w:rsidP="008470E0">
            <w:pPr>
              <w:pStyle w:val="Infotext"/>
              <w:rPr>
                <w:rFonts w:cs="Arial"/>
                <w:szCs w:val="24"/>
              </w:rPr>
            </w:pPr>
            <w:r w:rsidRPr="005E3A10">
              <w:rPr>
                <w:rFonts w:cs="Arial"/>
                <w:sz w:val="24"/>
                <w:szCs w:val="24"/>
              </w:rPr>
              <w:t xml:space="preserve">Yes </w:t>
            </w:r>
          </w:p>
        </w:tc>
      </w:tr>
      <w:tr w:rsidR="008470E0" w14:paraId="5B3BBB7D" w14:textId="77777777" w:rsidTr="008470E0">
        <w:tc>
          <w:tcPr>
            <w:tcW w:w="3456" w:type="dxa"/>
          </w:tcPr>
          <w:p w14:paraId="6EA110E5"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4120931" w14:textId="77777777" w:rsidR="008470E0" w:rsidRPr="005E3A10" w:rsidRDefault="008470E0" w:rsidP="008470E0">
            <w:pPr>
              <w:pStyle w:val="Infotext"/>
              <w:rPr>
                <w:rFonts w:cs="Arial"/>
                <w:sz w:val="24"/>
                <w:szCs w:val="24"/>
              </w:rPr>
            </w:pPr>
            <w:r w:rsidRPr="005641E0">
              <w:rPr>
                <w:rFonts w:cs="Arial"/>
                <w:sz w:val="24"/>
                <w:szCs w:val="24"/>
              </w:rPr>
              <w:t>Dawn Calvert, Director of Finance</w:t>
            </w:r>
            <w:r>
              <w:rPr>
                <w:rFonts w:cs="Arial"/>
                <w:sz w:val="24"/>
                <w:szCs w:val="24"/>
              </w:rPr>
              <w:t xml:space="preserve"> and Assurance</w:t>
            </w:r>
          </w:p>
          <w:p w14:paraId="32F77B23" w14:textId="77777777" w:rsidR="008470E0" w:rsidRPr="005E3A10" w:rsidRDefault="008470E0" w:rsidP="008470E0">
            <w:pPr>
              <w:pStyle w:val="Infotext"/>
              <w:rPr>
                <w:rFonts w:cs="Arial"/>
                <w:sz w:val="24"/>
                <w:szCs w:val="24"/>
              </w:rPr>
            </w:pPr>
          </w:p>
        </w:tc>
      </w:tr>
      <w:tr w:rsidR="008470E0" w14:paraId="0704E939" w14:textId="77777777" w:rsidTr="008470E0">
        <w:tc>
          <w:tcPr>
            <w:tcW w:w="3456" w:type="dxa"/>
          </w:tcPr>
          <w:p w14:paraId="1D949915" w14:textId="77777777" w:rsidR="008470E0" w:rsidRPr="00C13A5F" w:rsidRDefault="008470E0" w:rsidP="008470E0">
            <w:pPr>
              <w:pStyle w:val="Infotext"/>
              <w:spacing w:after="240"/>
              <w:rPr>
                <w:rFonts w:ascii="Arial Black" w:hAnsi="Arial Black"/>
              </w:rPr>
            </w:pPr>
            <w:r w:rsidRPr="00DB6C3D">
              <w:rPr>
                <w:rFonts w:ascii="Arial Black" w:hAnsi="Arial Black"/>
              </w:rPr>
              <w:t>Portfolio Holder:</w:t>
            </w:r>
          </w:p>
        </w:tc>
        <w:tc>
          <w:tcPr>
            <w:tcW w:w="5054" w:type="dxa"/>
          </w:tcPr>
          <w:p w14:paraId="68C178F8" w14:textId="77777777" w:rsidR="008470E0" w:rsidRDefault="008470E0" w:rsidP="008470E0">
            <w:pPr>
              <w:pStyle w:val="Infotext"/>
              <w:rPr>
                <w:rFonts w:cs="Arial"/>
                <w:sz w:val="24"/>
                <w:szCs w:val="24"/>
              </w:rPr>
            </w:pPr>
            <w:r w:rsidRPr="002E1DF4">
              <w:rPr>
                <w:rFonts w:cs="Arial"/>
                <w:sz w:val="24"/>
                <w:szCs w:val="24"/>
              </w:rPr>
              <w:t xml:space="preserve">Councillor </w:t>
            </w:r>
            <w:r>
              <w:rPr>
                <w:rFonts w:cs="Arial"/>
                <w:sz w:val="24"/>
                <w:szCs w:val="24"/>
              </w:rPr>
              <w:t>Natasha Proctor</w:t>
            </w:r>
            <w:r w:rsidRPr="002E1DF4">
              <w:rPr>
                <w:rFonts w:cs="Arial"/>
                <w:sz w:val="24"/>
                <w:szCs w:val="24"/>
              </w:rPr>
              <w:t xml:space="preserve">, </w:t>
            </w:r>
            <w:r>
              <w:rPr>
                <w:rFonts w:cs="Arial"/>
                <w:sz w:val="24"/>
                <w:szCs w:val="24"/>
              </w:rPr>
              <w:t xml:space="preserve">Deputy Leader and </w:t>
            </w:r>
            <w:r w:rsidRPr="002E1DF4">
              <w:rPr>
                <w:rFonts w:cs="Arial"/>
                <w:sz w:val="24"/>
                <w:szCs w:val="24"/>
              </w:rPr>
              <w:t>Portfolio Holder for Finance and Resources</w:t>
            </w:r>
          </w:p>
          <w:p w14:paraId="614AA0BA" w14:textId="77777777" w:rsidR="008470E0" w:rsidRPr="005E3A10" w:rsidRDefault="008470E0" w:rsidP="008470E0">
            <w:pPr>
              <w:pStyle w:val="Infotext"/>
              <w:rPr>
                <w:rFonts w:cs="Arial"/>
                <w:color w:val="FF0000"/>
                <w:sz w:val="24"/>
                <w:szCs w:val="24"/>
              </w:rPr>
            </w:pPr>
          </w:p>
        </w:tc>
      </w:tr>
      <w:tr w:rsidR="008470E0" w14:paraId="7EF48F46" w14:textId="77777777" w:rsidTr="008470E0">
        <w:tc>
          <w:tcPr>
            <w:tcW w:w="3456" w:type="dxa"/>
          </w:tcPr>
          <w:p w14:paraId="6273E787" w14:textId="77777777" w:rsidR="008470E0" w:rsidRPr="00C13A5F" w:rsidRDefault="008470E0" w:rsidP="008470E0">
            <w:pPr>
              <w:pStyle w:val="Infotext"/>
              <w:spacing w:after="240"/>
              <w:rPr>
                <w:rFonts w:ascii="Arial Black" w:hAnsi="Arial Black"/>
              </w:rPr>
            </w:pPr>
            <w:r w:rsidRPr="00DB6C3D">
              <w:rPr>
                <w:rFonts w:ascii="Arial Black" w:hAnsi="Arial Black"/>
              </w:rPr>
              <w:t>Exempt:</w:t>
            </w:r>
          </w:p>
        </w:tc>
        <w:tc>
          <w:tcPr>
            <w:tcW w:w="5054" w:type="dxa"/>
          </w:tcPr>
          <w:p w14:paraId="13860C40" w14:textId="77777777" w:rsidR="008470E0" w:rsidRPr="005E3A10" w:rsidRDefault="008470E0" w:rsidP="008470E0">
            <w:pPr>
              <w:pStyle w:val="Infotext"/>
              <w:jc w:val="both"/>
              <w:rPr>
                <w:rFonts w:cs="Arial"/>
                <w:sz w:val="24"/>
                <w:szCs w:val="24"/>
              </w:rPr>
            </w:pPr>
            <w:r>
              <w:rPr>
                <w:rFonts w:cs="Arial"/>
                <w:sz w:val="24"/>
                <w:szCs w:val="24"/>
              </w:rPr>
              <w:t xml:space="preserve">No </w:t>
            </w:r>
            <w:r>
              <w:rPr>
                <w:rFonts w:cs="Arial"/>
                <w:bCs/>
                <w:sz w:val="24"/>
                <w:szCs w:val="24"/>
              </w:rPr>
              <w:t>except for Appendices 7 and 8</w:t>
            </w:r>
            <w:r w:rsidRPr="00675F21">
              <w:rPr>
                <w:rFonts w:cs="Arial"/>
                <w:bCs/>
                <w:sz w:val="24"/>
                <w:szCs w:val="24"/>
              </w:rPr>
              <w:t xml:space="preserve"> which </w:t>
            </w:r>
            <w:r>
              <w:rPr>
                <w:rFonts w:cs="Arial"/>
                <w:bCs/>
                <w:sz w:val="24"/>
                <w:szCs w:val="24"/>
              </w:rPr>
              <w:t>are</w:t>
            </w:r>
            <w:r w:rsidRPr="00675F21">
              <w:rPr>
                <w:rFonts w:cs="Arial"/>
                <w:bCs/>
                <w:sz w:val="24"/>
                <w:szCs w:val="24"/>
              </w:rPr>
              <w:t xml:space="preserve"> exempt on the grounds that </w:t>
            </w:r>
            <w:r>
              <w:rPr>
                <w:rFonts w:cs="Arial"/>
                <w:bCs/>
                <w:sz w:val="24"/>
                <w:szCs w:val="24"/>
              </w:rPr>
              <w:t>they</w:t>
            </w:r>
            <w:r w:rsidRPr="00675F21">
              <w:rPr>
                <w:rFonts w:cs="Arial"/>
                <w:bCs/>
                <w:sz w:val="24"/>
                <w:szCs w:val="24"/>
              </w:rPr>
              <w:t xml:space="preserve"> contain “exempt information” under paragraph 3 of Part I of Schedule 12A to the Local Government Act 1972 (as amended) in that </w:t>
            </w:r>
            <w:r>
              <w:rPr>
                <w:rFonts w:cs="Arial"/>
                <w:bCs/>
                <w:sz w:val="24"/>
                <w:szCs w:val="24"/>
              </w:rPr>
              <w:t>they</w:t>
            </w:r>
            <w:r w:rsidRPr="00675F21">
              <w:rPr>
                <w:rFonts w:cs="Arial"/>
                <w:bCs/>
                <w:sz w:val="24"/>
                <w:szCs w:val="24"/>
              </w:rPr>
              <w:t xml:space="preserve"> contain information relating to the financial or business affairs of any particular person (including the authority holding that information</w:t>
            </w:r>
            <w:r>
              <w:rPr>
                <w:rFonts w:cs="Arial"/>
                <w:bCs/>
                <w:sz w:val="24"/>
                <w:szCs w:val="24"/>
              </w:rPr>
              <w:t>.</w:t>
            </w:r>
          </w:p>
          <w:p w14:paraId="18909D70" w14:textId="77777777" w:rsidR="008470E0" w:rsidRPr="005E3A10" w:rsidRDefault="008470E0" w:rsidP="008470E0">
            <w:pPr>
              <w:pStyle w:val="Infotext"/>
              <w:rPr>
                <w:rFonts w:cs="Arial"/>
                <w:color w:val="FF0000"/>
                <w:sz w:val="24"/>
                <w:szCs w:val="24"/>
              </w:rPr>
            </w:pPr>
          </w:p>
        </w:tc>
      </w:tr>
      <w:tr w:rsidR="008470E0" w14:paraId="4FDBD0AA" w14:textId="77777777" w:rsidTr="008470E0">
        <w:tc>
          <w:tcPr>
            <w:tcW w:w="3456" w:type="dxa"/>
          </w:tcPr>
          <w:p w14:paraId="07297C79" w14:textId="77777777" w:rsidR="008470E0" w:rsidRPr="00C13A5F" w:rsidRDefault="008470E0" w:rsidP="008470E0">
            <w:pPr>
              <w:pStyle w:val="Infotext"/>
              <w:spacing w:after="240"/>
              <w:rPr>
                <w:rFonts w:ascii="Arial Black" w:hAnsi="Arial Black"/>
              </w:rPr>
            </w:pPr>
            <w:r w:rsidRPr="00DB6C3D">
              <w:rPr>
                <w:rFonts w:ascii="Arial Black" w:hAnsi="Arial Black"/>
              </w:rPr>
              <w:t>Decision subject to Call-in:</w:t>
            </w:r>
          </w:p>
        </w:tc>
        <w:tc>
          <w:tcPr>
            <w:tcW w:w="5054" w:type="dxa"/>
          </w:tcPr>
          <w:p w14:paraId="5D98F42A" w14:textId="77777777" w:rsidR="008470E0" w:rsidRPr="005E3A10" w:rsidRDefault="008470E0" w:rsidP="008470E0">
            <w:pPr>
              <w:pStyle w:val="Infotext"/>
              <w:rPr>
                <w:rFonts w:cs="Arial"/>
                <w:szCs w:val="24"/>
              </w:rPr>
            </w:pPr>
            <w:r w:rsidRPr="005E3A10">
              <w:rPr>
                <w:rFonts w:cs="Arial"/>
                <w:sz w:val="24"/>
                <w:szCs w:val="24"/>
              </w:rPr>
              <w:t xml:space="preserve">Yes </w:t>
            </w:r>
          </w:p>
        </w:tc>
      </w:tr>
      <w:tr w:rsidR="008470E0" w14:paraId="534A5591" w14:textId="77777777" w:rsidTr="008470E0">
        <w:tc>
          <w:tcPr>
            <w:tcW w:w="3456" w:type="dxa"/>
          </w:tcPr>
          <w:p w14:paraId="3EE0E8B1" w14:textId="77777777" w:rsidR="008470E0" w:rsidRPr="00C13A5F" w:rsidRDefault="008470E0" w:rsidP="008470E0">
            <w:pPr>
              <w:pStyle w:val="Infotext"/>
              <w:spacing w:after="240"/>
              <w:rPr>
                <w:rFonts w:ascii="Arial Black" w:hAnsi="Arial Black" w:cs="Arial"/>
              </w:rPr>
            </w:pPr>
            <w:r>
              <w:rPr>
                <w:rFonts w:ascii="Arial Black" w:hAnsi="Arial Black" w:cs="Arial"/>
              </w:rPr>
              <w:t>Wards affected:</w:t>
            </w:r>
          </w:p>
        </w:tc>
        <w:tc>
          <w:tcPr>
            <w:tcW w:w="5054" w:type="dxa"/>
          </w:tcPr>
          <w:p w14:paraId="554BAD75" w14:textId="77777777" w:rsidR="008470E0" w:rsidRPr="00307F76" w:rsidRDefault="008470E0" w:rsidP="008470E0">
            <w:pPr>
              <w:rPr>
                <w:rFonts w:cs="Arial"/>
                <w:b/>
                <w:color w:val="FF0000"/>
                <w:szCs w:val="24"/>
              </w:rPr>
            </w:pPr>
            <w:r>
              <w:rPr>
                <w:rFonts w:cs="Arial"/>
                <w:szCs w:val="24"/>
              </w:rPr>
              <w:t>All wards</w:t>
            </w:r>
          </w:p>
        </w:tc>
      </w:tr>
      <w:tr w:rsidR="008470E0" w14:paraId="66FD410D" w14:textId="77777777" w:rsidTr="008470E0">
        <w:tc>
          <w:tcPr>
            <w:tcW w:w="3456" w:type="dxa"/>
          </w:tcPr>
          <w:p w14:paraId="65C18360"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Enclosures:</w:t>
            </w:r>
          </w:p>
        </w:tc>
        <w:tc>
          <w:tcPr>
            <w:tcW w:w="5054" w:type="dxa"/>
          </w:tcPr>
          <w:p w14:paraId="4BD9E2B3" w14:textId="77777777" w:rsidR="008470E0" w:rsidRPr="007323B9" w:rsidRDefault="008470E0" w:rsidP="008470E0">
            <w:pPr>
              <w:rPr>
                <w:rFonts w:cs="Arial"/>
                <w:szCs w:val="24"/>
              </w:rPr>
            </w:pPr>
            <w:r w:rsidRPr="002145D1">
              <w:rPr>
                <w:rFonts w:cs="Arial"/>
                <w:color w:val="000000" w:themeColor="text1"/>
              </w:rPr>
              <w:t>Appendix</w:t>
            </w:r>
            <w:r>
              <w:rPr>
                <w:rFonts w:cs="Arial"/>
                <w:color w:val="000000" w:themeColor="text1"/>
              </w:rPr>
              <w:t xml:space="preserve"> 1 – </w:t>
            </w:r>
            <w:r w:rsidRPr="002145D1">
              <w:rPr>
                <w:rFonts w:cs="Arial"/>
                <w:color w:val="000000" w:themeColor="text1"/>
              </w:rPr>
              <w:t xml:space="preserve">Summary of </w:t>
            </w:r>
            <w:r>
              <w:rPr>
                <w:rFonts w:cs="Arial"/>
                <w:color w:val="000000" w:themeColor="text1"/>
              </w:rPr>
              <w:t>2021/22</w:t>
            </w:r>
            <w:r w:rsidRPr="002145D1">
              <w:rPr>
                <w:rFonts w:cs="Arial"/>
                <w:color w:val="000000" w:themeColor="text1"/>
              </w:rPr>
              <w:t xml:space="preserve"> </w:t>
            </w:r>
            <w:r w:rsidRPr="002145D1">
              <w:rPr>
                <w:rFonts w:cs="Arial"/>
                <w:color w:val="000000" w:themeColor="text1"/>
                <w:szCs w:val="24"/>
              </w:rPr>
              <w:t xml:space="preserve">Revenue Budget Forecast by Directorate </w:t>
            </w:r>
          </w:p>
          <w:p w14:paraId="00DACB4B" w14:textId="77777777" w:rsidR="008470E0" w:rsidRPr="007323B9" w:rsidRDefault="008470E0" w:rsidP="008470E0">
            <w:pPr>
              <w:rPr>
                <w:rFonts w:cs="Arial"/>
                <w:szCs w:val="24"/>
              </w:rPr>
            </w:pPr>
            <w:r w:rsidRPr="007323B9">
              <w:rPr>
                <w:rFonts w:cs="Arial"/>
                <w:szCs w:val="24"/>
              </w:rPr>
              <w:t xml:space="preserve">Appendix 2 – </w:t>
            </w:r>
            <w:r>
              <w:rPr>
                <w:rFonts w:cs="Arial"/>
                <w:szCs w:val="24"/>
              </w:rPr>
              <w:t>Summary of Reserves</w:t>
            </w:r>
            <w:r w:rsidRPr="007323B9">
              <w:rPr>
                <w:rFonts w:cs="Arial"/>
                <w:szCs w:val="24"/>
              </w:rPr>
              <w:t xml:space="preserve"> </w:t>
            </w:r>
          </w:p>
          <w:p w14:paraId="64B59CB0" w14:textId="77777777" w:rsidR="008470E0" w:rsidRDefault="008470E0" w:rsidP="008470E0">
            <w:pPr>
              <w:rPr>
                <w:rFonts w:cs="Arial"/>
                <w:szCs w:val="24"/>
              </w:rPr>
            </w:pPr>
            <w:r w:rsidRPr="007323B9">
              <w:rPr>
                <w:rFonts w:cs="Arial"/>
                <w:szCs w:val="24"/>
              </w:rPr>
              <w:t xml:space="preserve">Appendix 3 – </w:t>
            </w:r>
            <w:r>
              <w:rPr>
                <w:rFonts w:cs="Arial"/>
                <w:szCs w:val="24"/>
              </w:rPr>
              <w:t>Summary of Grants</w:t>
            </w:r>
          </w:p>
          <w:p w14:paraId="2648FEBB" w14:textId="77777777" w:rsidR="008470E0" w:rsidRPr="007323B9" w:rsidRDefault="008470E0" w:rsidP="008470E0">
            <w:pPr>
              <w:rPr>
                <w:rFonts w:cs="Arial"/>
                <w:szCs w:val="24"/>
              </w:rPr>
            </w:pPr>
            <w:r w:rsidRPr="007323B9">
              <w:rPr>
                <w:rFonts w:cs="Arial"/>
                <w:szCs w:val="24"/>
              </w:rPr>
              <w:t>Appendix 4 –</w:t>
            </w:r>
            <w:r>
              <w:rPr>
                <w:rFonts w:cs="Arial"/>
                <w:szCs w:val="24"/>
              </w:rPr>
              <w:t xml:space="preserve"> </w:t>
            </w:r>
            <w:r w:rsidRPr="007323B9">
              <w:rPr>
                <w:rFonts w:cs="Arial"/>
                <w:szCs w:val="24"/>
              </w:rPr>
              <w:t>Savings Tracker</w:t>
            </w:r>
            <w:r>
              <w:rPr>
                <w:rFonts w:cs="Arial"/>
                <w:szCs w:val="24"/>
              </w:rPr>
              <w:t xml:space="preserve"> 2021/22</w:t>
            </w:r>
          </w:p>
          <w:p w14:paraId="5961155D" w14:textId="77777777" w:rsidR="008470E0" w:rsidRPr="002145D1" w:rsidRDefault="008470E0" w:rsidP="008470E0">
            <w:pPr>
              <w:pStyle w:val="Infotext"/>
              <w:rPr>
                <w:rFonts w:cs="Arial"/>
                <w:color w:val="000000" w:themeColor="text1"/>
                <w:sz w:val="24"/>
                <w:szCs w:val="24"/>
              </w:rPr>
            </w:pPr>
            <w:r w:rsidRPr="002145D1">
              <w:rPr>
                <w:rFonts w:cs="Arial"/>
                <w:color w:val="000000" w:themeColor="text1"/>
                <w:sz w:val="24"/>
                <w:szCs w:val="24"/>
              </w:rPr>
              <w:t>Appendix</w:t>
            </w:r>
            <w:r>
              <w:rPr>
                <w:rFonts w:cs="Arial"/>
                <w:color w:val="000000" w:themeColor="text1"/>
                <w:sz w:val="24"/>
                <w:szCs w:val="24"/>
              </w:rPr>
              <w:t xml:space="preserve"> 5 – </w:t>
            </w:r>
            <w:r w:rsidRPr="002145D1">
              <w:rPr>
                <w:rFonts w:cs="Arial"/>
                <w:color w:val="000000" w:themeColor="text1"/>
                <w:sz w:val="24"/>
                <w:szCs w:val="24"/>
              </w:rPr>
              <w:t>Capital Programme</w:t>
            </w:r>
            <w:r w:rsidRPr="002145D1">
              <w:rPr>
                <w:rFonts w:cs="Arial"/>
                <w:color w:val="000000" w:themeColor="text1"/>
                <w:szCs w:val="24"/>
              </w:rPr>
              <w:t xml:space="preserve"> </w:t>
            </w:r>
            <w:r>
              <w:rPr>
                <w:rFonts w:cs="Arial"/>
                <w:color w:val="000000" w:themeColor="text1"/>
                <w:sz w:val="24"/>
                <w:szCs w:val="24"/>
              </w:rPr>
              <w:t>2021/22</w:t>
            </w:r>
          </w:p>
          <w:p w14:paraId="7C7D6AEC" w14:textId="77777777" w:rsidR="008470E0" w:rsidRDefault="008470E0" w:rsidP="008470E0">
            <w:pPr>
              <w:pStyle w:val="Infotext"/>
              <w:rPr>
                <w:rFonts w:cs="Arial"/>
                <w:color w:val="000000" w:themeColor="text1"/>
                <w:sz w:val="24"/>
                <w:szCs w:val="24"/>
              </w:rPr>
            </w:pPr>
            <w:r w:rsidRPr="002145D1">
              <w:rPr>
                <w:rFonts w:cs="Arial"/>
                <w:color w:val="000000" w:themeColor="text1"/>
                <w:sz w:val="24"/>
                <w:szCs w:val="24"/>
              </w:rPr>
              <w:t xml:space="preserve">Appendix 6 – Trading Company Update </w:t>
            </w:r>
            <w:r>
              <w:rPr>
                <w:rFonts w:cs="Arial"/>
                <w:color w:val="000000" w:themeColor="text1"/>
                <w:sz w:val="24"/>
                <w:szCs w:val="24"/>
              </w:rPr>
              <w:t>2021/22</w:t>
            </w:r>
          </w:p>
          <w:p w14:paraId="727BCD47" w14:textId="77777777" w:rsidR="008470E0" w:rsidRDefault="008470E0" w:rsidP="008470E0">
            <w:pPr>
              <w:pStyle w:val="Infotext"/>
              <w:rPr>
                <w:rFonts w:cs="Arial"/>
                <w:color w:val="000000" w:themeColor="text1"/>
                <w:sz w:val="24"/>
                <w:szCs w:val="24"/>
              </w:rPr>
            </w:pPr>
            <w:r>
              <w:rPr>
                <w:rFonts w:cs="Arial"/>
                <w:color w:val="000000" w:themeColor="text1"/>
                <w:sz w:val="24"/>
                <w:szCs w:val="24"/>
              </w:rPr>
              <w:t xml:space="preserve">Appendix 7 – EXEMPT – </w:t>
            </w:r>
            <w:proofErr w:type="spellStart"/>
            <w:r>
              <w:rPr>
                <w:rFonts w:cs="Arial"/>
                <w:color w:val="000000" w:themeColor="text1"/>
                <w:sz w:val="24"/>
                <w:szCs w:val="24"/>
              </w:rPr>
              <w:t>Sancroft</w:t>
            </w:r>
            <w:proofErr w:type="spellEnd"/>
            <w:r>
              <w:rPr>
                <w:rFonts w:cs="Arial"/>
                <w:color w:val="000000" w:themeColor="text1"/>
                <w:sz w:val="24"/>
                <w:szCs w:val="24"/>
              </w:rPr>
              <w:t xml:space="preserve"> Community Care Limited Business Plan 2017-2023</w:t>
            </w:r>
          </w:p>
          <w:p w14:paraId="127F0C37" w14:textId="77777777" w:rsidR="008470E0" w:rsidRPr="002145D1" w:rsidRDefault="008470E0" w:rsidP="008470E0">
            <w:pPr>
              <w:pStyle w:val="Infotext"/>
              <w:rPr>
                <w:rFonts w:cs="Arial"/>
                <w:color w:val="000000" w:themeColor="text1"/>
                <w:sz w:val="24"/>
                <w:szCs w:val="24"/>
              </w:rPr>
            </w:pPr>
            <w:r>
              <w:rPr>
                <w:rFonts w:cs="Arial"/>
                <w:color w:val="000000" w:themeColor="text1"/>
                <w:sz w:val="24"/>
                <w:szCs w:val="24"/>
              </w:rPr>
              <w:t xml:space="preserve">Appendix 8 – EXEMPT – Concilium Assets LLP Business Plan 2021-2028 </w:t>
            </w:r>
          </w:p>
          <w:p w14:paraId="2F04515B" w14:textId="77777777" w:rsidR="008470E0" w:rsidRPr="00E54898" w:rsidRDefault="008470E0" w:rsidP="008470E0">
            <w:pPr>
              <w:pStyle w:val="Infotext"/>
              <w:jc w:val="both"/>
              <w:rPr>
                <w:rFonts w:cs="Arial"/>
                <w:color w:val="FF0000"/>
                <w:sz w:val="24"/>
                <w:szCs w:val="24"/>
              </w:rPr>
            </w:pPr>
          </w:p>
          <w:p w14:paraId="53B1CC73" w14:textId="77777777" w:rsidR="008470E0" w:rsidRPr="005E3A10" w:rsidRDefault="008470E0" w:rsidP="008470E0">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8470E0">
        <w:trPr>
          <w:tblHeader/>
        </w:trPr>
        <w:tc>
          <w:tcPr>
            <w:tcW w:w="8309" w:type="dxa"/>
            <w:tcBorders>
              <w:top w:val="nil"/>
              <w:left w:val="nil"/>
              <w:right w:val="nil"/>
            </w:tcBorders>
          </w:tcPr>
          <w:p w14:paraId="3A67BFB3" w14:textId="70CB3FF9" w:rsidR="00333FAA" w:rsidRDefault="008470E0" w:rsidP="00605A4C">
            <w:pPr>
              <w:pStyle w:val="Heading2"/>
              <w:spacing w:after="240"/>
            </w:pPr>
            <w:r>
              <w:lastRenderedPageBreak/>
              <w:br w:type="textWrapping" w:clear="all"/>
              <w:t>S</w:t>
            </w:r>
            <w:r w:rsidR="00333FAA">
              <w:t>ection 1 – Summary and Recommendations</w:t>
            </w:r>
          </w:p>
        </w:tc>
      </w:tr>
      <w:tr w:rsidR="00333FAA" w14:paraId="5D78E563" w14:textId="77777777" w:rsidTr="008470E0">
        <w:trPr>
          <w:tblHeader/>
        </w:trPr>
        <w:tc>
          <w:tcPr>
            <w:tcW w:w="8309" w:type="dxa"/>
          </w:tcPr>
          <w:p w14:paraId="12DD66B6" w14:textId="642ADAB0" w:rsidR="008470E0" w:rsidRDefault="008470E0" w:rsidP="008470E0">
            <w:pPr>
              <w:pStyle w:val="Heading3"/>
              <w:spacing w:before="240"/>
              <w:ind w:left="739"/>
              <w:rPr>
                <w:rFonts w:cs="Times New Roman"/>
                <w:b w:val="0"/>
                <w:bCs w:val="0"/>
                <w:sz w:val="24"/>
                <w:szCs w:val="20"/>
              </w:rPr>
            </w:pPr>
            <w:r w:rsidRPr="008470E0">
              <w:rPr>
                <w:rFonts w:cs="Times New Roman"/>
                <w:b w:val="0"/>
                <w:bCs w:val="0"/>
                <w:sz w:val="24"/>
                <w:szCs w:val="20"/>
              </w:rPr>
              <w:t>This report sets out the Council’s final revenue and capital outturn position</w:t>
            </w:r>
            <w:r>
              <w:rPr>
                <w:rFonts w:cs="Times New Roman"/>
                <w:b w:val="0"/>
                <w:bCs w:val="0"/>
                <w:sz w:val="24"/>
                <w:szCs w:val="20"/>
              </w:rPr>
              <w:t xml:space="preserve"> </w:t>
            </w:r>
            <w:r w:rsidRPr="008470E0">
              <w:rPr>
                <w:rFonts w:cs="Times New Roman"/>
                <w:b w:val="0"/>
                <w:bCs w:val="0"/>
                <w:sz w:val="24"/>
                <w:szCs w:val="20"/>
              </w:rPr>
              <w:t>for 2021/22</w:t>
            </w:r>
            <w:r w:rsidR="004B4AC2">
              <w:rPr>
                <w:rFonts w:cs="Times New Roman"/>
                <w:b w:val="0"/>
                <w:bCs w:val="0"/>
                <w:sz w:val="24"/>
                <w:szCs w:val="20"/>
              </w:rPr>
              <w:t>.</w:t>
            </w:r>
          </w:p>
          <w:p w14:paraId="0B40EE9C" w14:textId="77777777" w:rsidR="008470E0" w:rsidRPr="008470E0" w:rsidRDefault="008470E0" w:rsidP="008470E0"/>
          <w:p w14:paraId="42DEF54D" w14:textId="77777777" w:rsidR="008470E0" w:rsidRPr="008470E0" w:rsidRDefault="008470E0" w:rsidP="008470E0">
            <w:pPr>
              <w:jc w:val="both"/>
              <w:rPr>
                <w:b/>
                <w:bCs/>
                <w:sz w:val="28"/>
                <w:szCs w:val="22"/>
                <w:u w:val="single"/>
              </w:rPr>
            </w:pPr>
            <w:r w:rsidRPr="008470E0">
              <w:rPr>
                <w:b/>
                <w:bCs/>
                <w:sz w:val="28"/>
                <w:szCs w:val="22"/>
              </w:rPr>
              <w:t>Recommendations</w:t>
            </w:r>
            <w:r w:rsidRPr="008470E0">
              <w:rPr>
                <w:b/>
                <w:bCs/>
                <w:sz w:val="28"/>
                <w:szCs w:val="22"/>
                <w:u w:val="single"/>
              </w:rPr>
              <w:t xml:space="preserve">: </w:t>
            </w:r>
          </w:p>
          <w:p w14:paraId="7E755B4B" w14:textId="77777777" w:rsidR="008470E0" w:rsidRPr="00966427" w:rsidRDefault="008470E0" w:rsidP="008470E0">
            <w:pPr>
              <w:jc w:val="both"/>
            </w:pPr>
          </w:p>
          <w:p w14:paraId="773C41A8" w14:textId="77777777" w:rsidR="008470E0" w:rsidRPr="00E41F8A" w:rsidRDefault="008470E0" w:rsidP="008470E0">
            <w:pPr>
              <w:numPr>
                <w:ilvl w:val="0"/>
                <w:numId w:val="2"/>
              </w:numPr>
              <w:jc w:val="both"/>
            </w:pPr>
            <w:r w:rsidRPr="00E41F8A">
              <w:t xml:space="preserve">That </w:t>
            </w:r>
            <w:r w:rsidRPr="00576821">
              <w:t>Cabinet notes the revenue and capital forecast positions set out in paragraphs 1.2 and 1.3.</w:t>
            </w:r>
          </w:p>
          <w:p w14:paraId="5DAFBC25" w14:textId="77777777" w:rsidR="008470E0" w:rsidRPr="00E41F8A" w:rsidRDefault="008470E0" w:rsidP="008470E0">
            <w:pPr>
              <w:ind w:left="720"/>
              <w:jc w:val="both"/>
            </w:pPr>
          </w:p>
          <w:p w14:paraId="39D1C9DC" w14:textId="77777777" w:rsidR="008470E0" w:rsidRPr="00E41F8A" w:rsidRDefault="008470E0" w:rsidP="008470E0">
            <w:pPr>
              <w:numPr>
                <w:ilvl w:val="0"/>
                <w:numId w:val="2"/>
              </w:numPr>
              <w:jc w:val="both"/>
            </w:pPr>
            <w:bookmarkStart w:id="0" w:name="_Hlk82502342"/>
            <w:r w:rsidRPr="00E41F8A">
              <w:t xml:space="preserve">That Cabinet approve the proposed amendments to the Capital Programme as set out in </w:t>
            </w:r>
            <w:r w:rsidRPr="00CF606E">
              <w:t>paragraph</w:t>
            </w:r>
            <w:r w:rsidRPr="00E93CC8">
              <w:t>s</w:t>
            </w:r>
            <w:r w:rsidRPr="00F97182">
              <w:t xml:space="preserve"> 3.30 to 3.33 and notes paragraphs 3.3</w:t>
            </w:r>
            <w:r>
              <w:t>4</w:t>
            </w:r>
            <w:r w:rsidRPr="00F97182">
              <w:t xml:space="preserve"> to 3.3</w:t>
            </w:r>
            <w:r>
              <w:t>8</w:t>
            </w:r>
            <w:r w:rsidRPr="00F97182">
              <w:t>.</w:t>
            </w:r>
          </w:p>
          <w:bookmarkEnd w:id="0"/>
          <w:p w14:paraId="4039BE69" w14:textId="77777777" w:rsidR="008470E0" w:rsidRPr="00966427" w:rsidRDefault="008470E0" w:rsidP="008470E0">
            <w:pPr>
              <w:pStyle w:val="ListParagraph"/>
            </w:pPr>
          </w:p>
          <w:p w14:paraId="024A928C" w14:textId="77777777" w:rsidR="008470E0" w:rsidRDefault="008470E0" w:rsidP="008470E0">
            <w:pPr>
              <w:numPr>
                <w:ilvl w:val="0"/>
                <w:numId w:val="2"/>
              </w:numPr>
              <w:jc w:val="both"/>
            </w:pPr>
            <w:r w:rsidRPr="00966427">
              <w:t>That Cabinet note the Council’s Trading Update as detailed in Appendix 6.</w:t>
            </w:r>
          </w:p>
          <w:p w14:paraId="01E4B485" w14:textId="77777777" w:rsidR="008470E0" w:rsidRDefault="008470E0" w:rsidP="008470E0">
            <w:pPr>
              <w:pStyle w:val="ListParagraph"/>
              <w:rPr>
                <w:rFonts w:cs="Arial"/>
              </w:rPr>
            </w:pPr>
          </w:p>
          <w:p w14:paraId="3DEDF383" w14:textId="77777777" w:rsidR="008470E0" w:rsidRPr="00576821" w:rsidRDefault="008470E0" w:rsidP="008470E0">
            <w:pPr>
              <w:numPr>
                <w:ilvl w:val="0"/>
                <w:numId w:val="2"/>
              </w:numPr>
              <w:jc w:val="both"/>
            </w:pPr>
            <w:r w:rsidRPr="00576821">
              <w:rPr>
                <w:rFonts w:cs="Arial"/>
              </w:rPr>
              <w:t xml:space="preserve">That Cabinet approve the refresh of </w:t>
            </w:r>
            <w:proofErr w:type="spellStart"/>
            <w:r w:rsidRPr="00576821">
              <w:rPr>
                <w:rFonts w:cs="Arial"/>
              </w:rPr>
              <w:t>Sancroft</w:t>
            </w:r>
            <w:proofErr w:type="spellEnd"/>
            <w:r w:rsidRPr="00576821">
              <w:rPr>
                <w:rFonts w:cs="Arial"/>
              </w:rPr>
              <w:t xml:space="preserve"> Community Care Limited’s Business Plan (2017-2023), as detailed in Appendix </w:t>
            </w:r>
            <w:r>
              <w:rPr>
                <w:rFonts w:cs="Arial"/>
              </w:rPr>
              <w:t>7</w:t>
            </w:r>
            <w:r w:rsidRPr="00576821">
              <w:rPr>
                <w:rFonts w:cs="Arial"/>
              </w:rPr>
              <w:t xml:space="preserve"> (Exempt). </w:t>
            </w:r>
          </w:p>
          <w:p w14:paraId="6CA3C4F8" w14:textId="77777777" w:rsidR="008470E0" w:rsidRDefault="008470E0" w:rsidP="008470E0">
            <w:pPr>
              <w:pStyle w:val="ListParagraph"/>
              <w:rPr>
                <w:rFonts w:cs="Arial"/>
              </w:rPr>
            </w:pPr>
          </w:p>
          <w:p w14:paraId="61C8553A" w14:textId="77777777" w:rsidR="008470E0" w:rsidRPr="00576821" w:rsidRDefault="008470E0" w:rsidP="008470E0">
            <w:pPr>
              <w:numPr>
                <w:ilvl w:val="0"/>
                <w:numId w:val="2"/>
              </w:numPr>
              <w:jc w:val="both"/>
            </w:pPr>
            <w:r w:rsidRPr="00576821">
              <w:rPr>
                <w:rFonts w:cs="Arial"/>
              </w:rPr>
              <w:t xml:space="preserve">That Cabinet approve the </w:t>
            </w:r>
            <w:proofErr w:type="spellStart"/>
            <w:r w:rsidRPr="00576821">
              <w:rPr>
                <w:rFonts w:cs="Arial"/>
              </w:rPr>
              <w:t>Concillium</w:t>
            </w:r>
            <w:proofErr w:type="spellEnd"/>
            <w:r w:rsidRPr="00576821">
              <w:rPr>
                <w:rFonts w:cs="Arial"/>
              </w:rPr>
              <w:t xml:space="preserve"> Assets LLP’s Business Plan (2021/22 – 2027/28) as detailed in Appendix </w:t>
            </w:r>
            <w:r>
              <w:rPr>
                <w:rFonts w:cs="Arial"/>
              </w:rPr>
              <w:t>8</w:t>
            </w:r>
            <w:r w:rsidRPr="00576821">
              <w:rPr>
                <w:rFonts w:cs="Arial"/>
              </w:rPr>
              <w:t xml:space="preserve"> (Exempt).</w:t>
            </w:r>
          </w:p>
          <w:p w14:paraId="5D7A8B14" w14:textId="77777777" w:rsidR="008470E0" w:rsidRPr="00966427" w:rsidRDefault="008470E0" w:rsidP="008470E0">
            <w:pPr>
              <w:ind w:left="720"/>
              <w:jc w:val="both"/>
            </w:pPr>
          </w:p>
          <w:p w14:paraId="5EE15E54" w14:textId="550E85BA" w:rsidR="008470E0" w:rsidRPr="008470E0" w:rsidRDefault="008470E0" w:rsidP="008470E0">
            <w:pPr>
              <w:pStyle w:val="Heading2"/>
              <w:jc w:val="both"/>
              <w:rPr>
                <w:rFonts w:ascii="Arial" w:hAnsi="Arial" w:cs="Times New Roman"/>
                <w:sz w:val="28"/>
                <w:szCs w:val="22"/>
              </w:rPr>
            </w:pPr>
            <w:r w:rsidRPr="008470E0">
              <w:rPr>
                <w:rFonts w:ascii="Arial" w:hAnsi="Arial" w:cs="Times New Roman"/>
                <w:sz w:val="28"/>
                <w:szCs w:val="22"/>
              </w:rPr>
              <w:t xml:space="preserve">Reason: (For recommendations) </w:t>
            </w:r>
          </w:p>
          <w:p w14:paraId="06ECB381" w14:textId="77777777" w:rsidR="008470E0" w:rsidRPr="00290F2F" w:rsidRDefault="008470E0" w:rsidP="008470E0">
            <w:pPr>
              <w:jc w:val="both"/>
              <w:rPr>
                <w:color w:val="FF0000"/>
              </w:rPr>
            </w:pPr>
            <w:r w:rsidRPr="00290F2F">
              <w:t xml:space="preserve">To report the </w:t>
            </w:r>
            <w:r>
              <w:t>2021/22</w:t>
            </w:r>
            <w:r w:rsidRPr="00290F2F">
              <w:t xml:space="preserve"> financial </w:t>
            </w:r>
            <w:r>
              <w:t xml:space="preserve">forecast </w:t>
            </w:r>
            <w:r w:rsidRPr="00290F2F">
              <w:t>position</w:t>
            </w:r>
            <w:r>
              <w:t xml:space="preserve"> at Q1 and </w:t>
            </w:r>
            <w:r w:rsidRPr="00C102C7">
              <w:t>to update Cabinet on trading company performance</w:t>
            </w:r>
            <w:r>
              <w:t>.</w:t>
            </w:r>
          </w:p>
          <w:p w14:paraId="313BC81E" w14:textId="77777777" w:rsidR="00333FAA" w:rsidRDefault="00333FAA" w:rsidP="00605A4C"/>
        </w:tc>
      </w:tr>
    </w:tbl>
    <w:p w14:paraId="2AE9881A" w14:textId="5C1729C1" w:rsidR="008470E0" w:rsidRDefault="008470E0" w:rsidP="008470E0"/>
    <w:p w14:paraId="2F8DF095" w14:textId="77777777" w:rsidR="008470E0" w:rsidRPr="00290F2F" w:rsidRDefault="008470E0" w:rsidP="008470E0">
      <w:pPr>
        <w:pStyle w:val="Heading1"/>
        <w:jc w:val="both"/>
      </w:pPr>
      <w:r w:rsidRPr="00290F2F">
        <w:t>Section 2 – Report</w:t>
      </w:r>
    </w:p>
    <w:p w14:paraId="73535EDD" w14:textId="77777777" w:rsidR="008470E0" w:rsidRPr="00290F2F" w:rsidRDefault="008470E0" w:rsidP="008470E0">
      <w:pPr>
        <w:jc w:val="both"/>
        <w:rPr>
          <w:rFonts w:cs="Arial"/>
          <w:szCs w:val="24"/>
        </w:rPr>
      </w:pPr>
    </w:p>
    <w:p w14:paraId="606B4336" w14:textId="77777777" w:rsidR="008470E0" w:rsidRPr="00290F2F" w:rsidRDefault="008470E0" w:rsidP="008470E0">
      <w:pPr>
        <w:numPr>
          <w:ilvl w:val="0"/>
          <w:numId w:val="3"/>
        </w:numPr>
        <w:tabs>
          <w:tab w:val="left" w:pos="0"/>
        </w:tabs>
        <w:ind w:left="567" w:hanging="567"/>
        <w:jc w:val="both"/>
        <w:rPr>
          <w:rFonts w:cs="Arial"/>
          <w:b/>
          <w:bCs/>
          <w:szCs w:val="24"/>
          <w:u w:val="single"/>
        </w:rPr>
      </w:pPr>
      <w:r w:rsidRPr="00290F2F">
        <w:rPr>
          <w:rFonts w:cs="Arial"/>
          <w:b/>
          <w:bCs/>
          <w:szCs w:val="24"/>
          <w:u w:val="single"/>
        </w:rPr>
        <w:t>INTRODUCTION</w:t>
      </w:r>
    </w:p>
    <w:p w14:paraId="0DFE636F" w14:textId="77777777" w:rsidR="008470E0" w:rsidRPr="00290F2F" w:rsidRDefault="008470E0" w:rsidP="008470E0">
      <w:pPr>
        <w:ind w:left="567"/>
        <w:jc w:val="both"/>
        <w:rPr>
          <w:rFonts w:cs="Arial"/>
          <w:b/>
          <w:bCs/>
          <w:szCs w:val="24"/>
          <w:u w:val="single"/>
        </w:rPr>
      </w:pPr>
    </w:p>
    <w:p w14:paraId="7339539E" w14:textId="77777777" w:rsidR="008470E0" w:rsidRDefault="008470E0" w:rsidP="008470E0">
      <w:pPr>
        <w:pStyle w:val="ListParagraph"/>
        <w:numPr>
          <w:ilvl w:val="0"/>
          <w:numId w:val="3"/>
        </w:numPr>
        <w:ind w:left="567" w:hanging="567"/>
        <w:contextualSpacing/>
        <w:jc w:val="both"/>
        <w:rPr>
          <w:rFonts w:cs="Arial"/>
          <w:szCs w:val="24"/>
        </w:rPr>
      </w:pPr>
      <w:r w:rsidRPr="00825082">
        <w:rPr>
          <w:rFonts w:cs="Arial"/>
          <w:szCs w:val="24"/>
        </w:rPr>
        <w:t>This is the fi</w:t>
      </w:r>
      <w:r>
        <w:rPr>
          <w:rFonts w:cs="Arial"/>
          <w:szCs w:val="24"/>
        </w:rPr>
        <w:t>rst</w:t>
      </w:r>
      <w:r w:rsidRPr="00825082">
        <w:rPr>
          <w:rFonts w:cs="Arial"/>
          <w:szCs w:val="24"/>
        </w:rPr>
        <w:t xml:space="preserve"> budget monitoring report for 202</w:t>
      </w:r>
      <w:r>
        <w:rPr>
          <w:rFonts w:cs="Arial"/>
          <w:szCs w:val="24"/>
        </w:rPr>
        <w:t>1/22</w:t>
      </w:r>
      <w:r w:rsidRPr="00825082">
        <w:rPr>
          <w:rFonts w:cs="Arial"/>
          <w:szCs w:val="24"/>
        </w:rPr>
        <w:t xml:space="preserve">.  </w:t>
      </w:r>
    </w:p>
    <w:p w14:paraId="7949BA5F" w14:textId="77777777" w:rsidR="008470E0" w:rsidRPr="00825082" w:rsidRDefault="008470E0" w:rsidP="008470E0">
      <w:pPr>
        <w:contextualSpacing/>
        <w:jc w:val="both"/>
        <w:rPr>
          <w:rFonts w:cs="Arial"/>
          <w:szCs w:val="24"/>
        </w:rPr>
      </w:pPr>
    </w:p>
    <w:p w14:paraId="1C7FD6F5" w14:textId="77777777" w:rsidR="008470E0" w:rsidRDefault="008470E0" w:rsidP="008470E0">
      <w:pPr>
        <w:pStyle w:val="ListParagraph"/>
        <w:numPr>
          <w:ilvl w:val="0"/>
          <w:numId w:val="3"/>
        </w:numPr>
        <w:ind w:left="567" w:hanging="567"/>
        <w:contextualSpacing/>
        <w:jc w:val="both"/>
        <w:rPr>
          <w:rFonts w:cs="Arial"/>
          <w:szCs w:val="24"/>
        </w:rPr>
      </w:pPr>
      <w:r>
        <w:rPr>
          <w:rFonts w:cs="Arial"/>
          <w:szCs w:val="24"/>
        </w:rPr>
        <w:t xml:space="preserve">The revenue budget in 2021/22 is £179.442m which is net of government and other specific grants. A list of external grants is shown at Appendix 3. </w:t>
      </w:r>
      <w:r w:rsidRPr="004B1A15">
        <w:rPr>
          <w:rFonts w:cs="Arial"/>
          <w:szCs w:val="24"/>
        </w:rPr>
        <w:t>The net forecast position on the revenue budget at Q1 is an overspend of £641k, after the planned use of reserves which are largely applied to fund one-off projects and cross divisional adjustments</w:t>
      </w:r>
      <w:r>
        <w:rPr>
          <w:rFonts w:cs="Arial"/>
          <w:szCs w:val="24"/>
        </w:rPr>
        <w:t>.</w:t>
      </w:r>
    </w:p>
    <w:p w14:paraId="6F664600" w14:textId="77777777" w:rsidR="008470E0" w:rsidRPr="00075D7E" w:rsidRDefault="008470E0" w:rsidP="008470E0">
      <w:pPr>
        <w:contextualSpacing/>
        <w:jc w:val="both"/>
        <w:rPr>
          <w:rFonts w:cs="Arial"/>
          <w:szCs w:val="24"/>
        </w:rPr>
      </w:pPr>
    </w:p>
    <w:p w14:paraId="41985567" w14:textId="77777777" w:rsidR="008470E0" w:rsidRPr="00075D7E" w:rsidRDefault="008470E0" w:rsidP="008470E0">
      <w:pPr>
        <w:pStyle w:val="ListParagraph"/>
        <w:numPr>
          <w:ilvl w:val="0"/>
          <w:numId w:val="3"/>
        </w:numPr>
        <w:ind w:left="567" w:hanging="567"/>
        <w:contextualSpacing/>
        <w:jc w:val="both"/>
        <w:rPr>
          <w:rFonts w:cs="Arial"/>
          <w:szCs w:val="24"/>
        </w:rPr>
      </w:pPr>
      <w:r w:rsidRPr="00075D7E">
        <w:rPr>
          <w:rFonts w:cs="Arial"/>
          <w:szCs w:val="24"/>
        </w:rPr>
        <w:t xml:space="preserve">The general fund capital programme budget in 2021/22 </w:t>
      </w:r>
      <w:r w:rsidRPr="00075D7E">
        <w:rPr>
          <w:rFonts w:cs="Arial"/>
          <w:bCs/>
          <w:szCs w:val="24"/>
        </w:rPr>
        <w:t>is £112.486m. The net forecast position on the capital budget at Q1 is £92.204m which represents 82% of the total capital programme budget. The variance of £20.282m is made up of proposed slippage of £18.506m and an underspend of £1.776m.</w:t>
      </w:r>
    </w:p>
    <w:p w14:paraId="0C111D5F" w14:textId="77777777" w:rsidR="008470E0" w:rsidRPr="00075D7E" w:rsidRDefault="008470E0" w:rsidP="008470E0">
      <w:pPr>
        <w:pStyle w:val="ListParagraph"/>
        <w:rPr>
          <w:rFonts w:cs="Arial"/>
          <w:bCs/>
          <w:szCs w:val="24"/>
        </w:rPr>
      </w:pPr>
    </w:p>
    <w:p w14:paraId="35704F80" w14:textId="3658788E" w:rsidR="008470E0" w:rsidRPr="008470E0" w:rsidRDefault="008470E0" w:rsidP="008470E0">
      <w:pPr>
        <w:pStyle w:val="ListParagraph"/>
        <w:numPr>
          <w:ilvl w:val="0"/>
          <w:numId w:val="3"/>
        </w:numPr>
        <w:ind w:left="567" w:hanging="567"/>
        <w:contextualSpacing/>
        <w:jc w:val="both"/>
        <w:rPr>
          <w:rFonts w:cs="Arial"/>
          <w:color w:val="FF0000"/>
          <w:szCs w:val="24"/>
        </w:rPr>
      </w:pPr>
      <w:r w:rsidRPr="008470E0">
        <w:rPr>
          <w:rFonts w:cs="Arial"/>
          <w:bCs/>
          <w:szCs w:val="24"/>
        </w:rPr>
        <w:t>The Housing Revenue Account capital programme budget is £99.764m. The net forecast position on the HRA capital budget at Q1 is £98.791m which represents 99% of the total HRA capital programme budget. The variance of £973k is made up of proposed slippage of £900k and a net underspend of £73k.</w:t>
      </w:r>
    </w:p>
    <w:p w14:paraId="30A6BC04" w14:textId="77777777" w:rsidR="008470E0" w:rsidRPr="00CD5B85" w:rsidRDefault="008470E0" w:rsidP="008470E0">
      <w:pPr>
        <w:pStyle w:val="ListParagraph"/>
        <w:spacing w:after="120"/>
        <w:ind w:left="689" w:right="306"/>
        <w:contextualSpacing/>
        <w:jc w:val="both"/>
        <w:rPr>
          <w:rFonts w:cs="Arial"/>
          <w:szCs w:val="24"/>
        </w:rPr>
      </w:pPr>
    </w:p>
    <w:p w14:paraId="0787A91E" w14:textId="77777777" w:rsidR="008470E0" w:rsidRPr="00CD5B85" w:rsidRDefault="008470E0" w:rsidP="008470E0">
      <w:pPr>
        <w:pStyle w:val="ListParagraph"/>
        <w:numPr>
          <w:ilvl w:val="0"/>
          <w:numId w:val="6"/>
        </w:numPr>
        <w:ind w:left="567" w:hanging="567"/>
        <w:jc w:val="both"/>
        <w:rPr>
          <w:rFonts w:cs="Arial"/>
          <w:b/>
          <w:szCs w:val="24"/>
          <w:u w:val="single"/>
        </w:rPr>
      </w:pPr>
      <w:r w:rsidRPr="00CD5B85">
        <w:rPr>
          <w:rFonts w:cs="Arial"/>
          <w:b/>
          <w:szCs w:val="24"/>
          <w:u w:val="single"/>
        </w:rPr>
        <w:t>REVENUE MONITORING</w:t>
      </w:r>
    </w:p>
    <w:p w14:paraId="7A6F9832" w14:textId="77777777" w:rsidR="008470E0" w:rsidRPr="00CD5B85" w:rsidRDefault="008470E0" w:rsidP="008470E0">
      <w:pPr>
        <w:pStyle w:val="ListParagraph"/>
        <w:ind w:left="567"/>
        <w:jc w:val="both"/>
        <w:rPr>
          <w:rFonts w:cs="Arial"/>
          <w:b/>
          <w:szCs w:val="24"/>
          <w:u w:val="single"/>
        </w:rPr>
      </w:pPr>
    </w:p>
    <w:p w14:paraId="262EAE20" w14:textId="590469EF" w:rsidR="008470E0" w:rsidRPr="008470E0" w:rsidRDefault="008470E0" w:rsidP="008470E0">
      <w:pPr>
        <w:pStyle w:val="ListParagraph"/>
        <w:numPr>
          <w:ilvl w:val="0"/>
          <w:numId w:val="6"/>
        </w:numPr>
        <w:ind w:left="567" w:hanging="567"/>
        <w:jc w:val="both"/>
        <w:rPr>
          <w:rFonts w:cs="Arial"/>
          <w:szCs w:val="24"/>
        </w:rPr>
      </w:pPr>
      <w:r w:rsidRPr="00CD5B85">
        <w:rPr>
          <w:rFonts w:cs="Arial"/>
          <w:bCs/>
          <w:szCs w:val="24"/>
        </w:rPr>
        <w:t xml:space="preserve">The </w:t>
      </w:r>
      <w:r>
        <w:rPr>
          <w:rFonts w:cs="Arial"/>
          <w:bCs/>
          <w:szCs w:val="24"/>
        </w:rPr>
        <w:t xml:space="preserve">net forecast position on the revenue budget at Q1 is an overspend of £641k. </w:t>
      </w:r>
      <w:r w:rsidRPr="00CD5B85">
        <w:rPr>
          <w:rFonts w:cs="Arial"/>
          <w:bCs/>
          <w:szCs w:val="24"/>
        </w:rPr>
        <w:t>The summary of the</w:t>
      </w:r>
      <w:r>
        <w:rPr>
          <w:rFonts w:cs="Arial"/>
          <w:bCs/>
          <w:szCs w:val="24"/>
        </w:rPr>
        <w:t xml:space="preserve"> outturn</w:t>
      </w:r>
      <w:r w:rsidRPr="00CD5B85">
        <w:rPr>
          <w:rFonts w:cs="Arial"/>
          <w:bCs/>
          <w:szCs w:val="24"/>
        </w:rPr>
        <w:t xml:space="preserve"> by </w:t>
      </w:r>
      <w:r>
        <w:rPr>
          <w:rFonts w:cs="Arial"/>
          <w:bCs/>
          <w:szCs w:val="24"/>
        </w:rPr>
        <w:t xml:space="preserve">each </w:t>
      </w:r>
      <w:r w:rsidRPr="00CD5B85">
        <w:rPr>
          <w:rFonts w:cs="Arial"/>
          <w:bCs/>
          <w:szCs w:val="24"/>
        </w:rPr>
        <w:t>division is set out in Table 1 with a more detailed breakdown at Appendix 1:</w:t>
      </w:r>
    </w:p>
    <w:p w14:paraId="1960CB18" w14:textId="77777777" w:rsidR="008470E0" w:rsidRPr="00CD5B85" w:rsidRDefault="008470E0" w:rsidP="008470E0">
      <w:pPr>
        <w:pStyle w:val="ListParagraph"/>
        <w:ind w:left="567"/>
        <w:jc w:val="both"/>
        <w:rPr>
          <w:rFonts w:cs="Arial"/>
          <w:szCs w:val="24"/>
        </w:rPr>
      </w:pPr>
    </w:p>
    <w:p w14:paraId="51088293" w14:textId="46B8715E" w:rsidR="008470E0" w:rsidRDefault="008470E0" w:rsidP="008470E0">
      <w:pPr>
        <w:jc w:val="both"/>
        <w:rPr>
          <w:rFonts w:cs="Arial"/>
          <w:b/>
          <w:szCs w:val="24"/>
          <w:u w:val="single"/>
        </w:rPr>
      </w:pPr>
      <w:r w:rsidRPr="00213F4C">
        <w:rPr>
          <w:rFonts w:cs="Arial"/>
          <w:b/>
          <w:szCs w:val="24"/>
          <w:u w:val="single"/>
        </w:rPr>
        <w:t>Table 1: Summary of Revenue Budget Monitoring</w:t>
      </w:r>
      <w:r>
        <w:rPr>
          <w:rFonts w:cs="Arial"/>
          <w:b/>
          <w:szCs w:val="24"/>
          <w:u w:val="single"/>
        </w:rPr>
        <w:t xml:space="preserve"> Forecast</w:t>
      </w:r>
      <w:r w:rsidRPr="00213F4C">
        <w:rPr>
          <w:rFonts w:cs="Arial"/>
          <w:b/>
          <w:szCs w:val="24"/>
          <w:u w:val="single"/>
        </w:rPr>
        <w:t xml:space="preserve"> – </w:t>
      </w:r>
      <w:r>
        <w:rPr>
          <w:rFonts w:cs="Arial"/>
          <w:b/>
          <w:szCs w:val="24"/>
          <w:u w:val="single"/>
        </w:rPr>
        <w:t>Q1 2021/22</w:t>
      </w:r>
    </w:p>
    <w:p w14:paraId="2CE1EEFA" w14:textId="77777777" w:rsidR="008470E0" w:rsidRPr="00213F4C" w:rsidRDefault="008470E0" w:rsidP="008470E0">
      <w:pPr>
        <w:jc w:val="both"/>
        <w:rPr>
          <w:rFonts w:cs="Arial"/>
          <w:b/>
          <w:szCs w:val="24"/>
          <w:u w:val="single"/>
        </w:rPr>
      </w:pPr>
    </w:p>
    <w:p w14:paraId="4E862F06" w14:textId="0DE0F5B8" w:rsidR="008470E0" w:rsidRPr="00290F2F" w:rsidRDefault="008470E0" w:rsidP="008470E0">
      <w:pPr>
        <w:jc w:val="both"/>
        <w:rPr>
          <w:rFonts w:cs="Arial"/>
          <w:b/>
          <w:color w:val="FF0000"/>
          <w:szCs w:val="24"/>
          <w:u w:val="single"/>
        </w:rPr>
      </w:pPr>
      <w:r w:rsidRPr="00075D7E">
        <w:rPr>
          <w:noProof/>
        </w:rPr>
        <w:drawing>
          <wp:inline distT="0" distB="0" distL="0" distR="0" wp14:anchorId="733F32DB" wp14:editId="38188510">
            <wp:extent cx="5955475" cy="5681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7127" cy="5682921"/>
                    </a:xfrm>
                    <a:prstGeom prst="rect">
                      <a:avLst/>
                    </a:prstGeom>
                    <a:noFill/>
                    <a:ln>
                      <a:noFill/>
                    </a:ln>
                  </pic:spPr>
                </pic:pic>
              </a:graphicData>
            </a:graphic>
          </wp:inline>
        </w:drawing>
      </w:r>
    </w:p>
    <w:p w14:paraId="0C93EF78" w14:textId="77777777" w:rsidR="008470E0" w:rsidRDefault="008470E0" w:rsidP="008470E0">
      <w:pPr>
        <w:pStyle w:val="ListParagraph"/>
        <w:ind w:left="567"/>
        <w:jc w:val="both"/>
        <w:rPr>
          <w:rFonts w:cs="Arial"/>
          <w:b/>
          <w:szCs w:val="24"/>
          <w:u w:val="single"/>
        </w:rPr>
      </w:pPr>
      <w:bookmarkStart w:id="1" w:name="_Hlk48039303"/>
      <w:bookmarkStart w:id="2" w:name="_Hlk54352665"/>
      <w:bookmarkStart w:id="3" w:name="_Hlk62420623"/>
    </w:p>
    <w:p w14:paraId="3B51CDA0" w14:textId="77777777" w:rsidR="004B4AC2" w:rsidRDefault="004B4AC2" w:rsidP="008470E0">
      <w:pPr>
        <w:pStyle w:val="ListParagraph"/>
        <w:ind w:left="567"/>
        <w:jc w:val="both"/>
        <w:rPr>
          <w:rFonts w:cs="Arial"/>
          <w:b/>
          <w:szCs w:val="24"/>
          <w:u w:val="single"/>
        </w:rPr>
      </w:pPr>
    </w:p>
    <w:p w14:paraId="5AFB7FF1" w14:textId="77777777" w:rsidR="004B4AC2" w:rsidRDefault="004B4AC2" w:rsidP="008470E0">
      <w:pPr>
        <w:pStyle w:val="ListParagraph"/>
        <w:ind w:left="567"/>
        <w:jc w:val="both"/>
        <w:rPr>
          <w:rFonts w:cs="Arial"/>
          <w:b/>
          <w:szCs w:val="24"/>
          <w:u w:val="single"/>
        </w:rPr>
      </w:pPr>
    </w:p>
    <w:p w14:paraId="2094FFCD" w14:textId="77777777" w:rsidR="004B4AC2" w:rsidRDefault="004B4AC2" w:rsidP="008470E0">
      <w:pPr>
        <w:pStyle w:val="ListParagraph"/>
        <w:ind w:left="567"/>
        <w:jc w:val="both"/>
        <w:rPr>
          <w:rFonts w:cs="Arial"/>
          <w:b/>
          <w:szCs w:val="24"/>
          <w:u w:val="single"/>
        </w:rPr>
      </w:pPr>
    </w:p>
    <w:p w14:paraId="66E0E957" w14:textId="7D682D0B" w:rsidR="008470E0" w:rsidRPr="00C8641F" w:rsidRDefault="008470E0" w:rsidP="008470E0">
      <w:pPr>
        <w:pStyle w:val="ListParagraph"/>
        <w:ind w:left="567"/>
        <w:jc w:val="both"/>
        <w:rPr>
          <w:rFonts w:cs="Arial"/>
          <w:b/>
          <w:szCs w:val="24"/>
          <w:u w:val="single"/>
        </w:rPr>
      </w:pPr>
      <w:r w:rsidRPr="00C8641F">
        <w:rPr>
          <w:rFonts w:cs="Arial"/>
          <w:b/>
          <w:szCs w:val="24"/>
          <w:u w:val="single"/>
        </w:rPr>
        <w:lastRenderedPageBreak/>
        <w:t xml:space="preserve">RESOURCES  </w:t>
      </w:r>
    </w:p>
    <w:p w14:paraId="5D6497BA" w14:textId="2ACF0F9B" w:rsidR="008470E0" w:rsidRPr="003946FE" w:rsidRDefault="008470E0" w:rsidP="008470E0">
      <w:pPr>
        <w:pStyle w:val="ListParagraph"/>
        <w:ind w:left="567"/>
        <w:jc w:val="both"/>
        <w:rPr>
          <w:rFonts w:cs="Arial"/>
          <w:b/>
          <w:szCs w:val="24"/>
        </w:rPr>
      </w:pPr>
    </w:p>
    <w:p w14:paraId="771DB4B3" w14:textId="2D90B701" w:rsidR="008470E0" w:rsidRDefault="008470E0" w:rsidP="008470E0">
      <w:pPr>
        <w:pStyle w:val="ListParagraph"/>
        <w:numPr>
          <w:ilvl w:val="0"/>
          <w:numId w:val="6"/>
        </w:numPr>
        <w:ind w:left="567" w:hanging="567"/>
        <w:jc w:val="both"/>
        <w:rPr>
          <w:rFonts w:cs="Arial"/>
          <w:szCs w:val="24"/>
        </w:rPr>
      </w:pPr>
      <w:r w:rsidRPr="007A2971">
        <w:rPr>
          <w:rFonts w:cs="Arial"/>
          <w:szCs w:val="24"/>
        </w:rPr>
        <w:t>A</w:t>
      </w:r>
      <w:r>
        <w:rPr>
          <w:rFonts w:cs="Arial"/>
          <w:szCs w:val="24"/>
        </w:rPr>
        <w:t>s at Q1 the directorate is reporting a net overspend of £1.193m after a draw down from reserves and cross divisional adjustments. The main variances are detailed in the following paragraphs.</w:t>
      </w:r>
    </w:p>
    <w:p w14:paraId="49AA3A14" w14:textId="7674531E" w:rsidR="008470E0" w:rsidRDefault="008470E0" w:rsidP="008470E0">
      <w:pPr>
        <w:pStyle w:val="ListParagraph"/>
        <w:ind w:left="873"/>
        <w:jc w:val="both"/>
        <w:rPr>
          <w:rFonts w:cs="Arial"/>
          <w:szCs w:val="24"/>
        </w:rPr>
      </w:pPr>
    </w:p>
    <w:p w14:paraId="2282DF45" w14:textId="77777777" w:rsidR="008470E0" w:rsidRDefault="008470E0" w:rsidP="008470E0">
      <w:pPr>
        <w:pStyle w:val="ListParagraph"/>
        <w:numPr>
          <w:ilvl w:val="1"/>
          <w:numId w:val="6"/>
        </w:numPr>
        <w:ind w:left="873" w:hanging="567"/>
        <w:jc w:val="both"/>
        <w:rPr>
          <w:rFonts w:cs="Arial"/>
          <w:szCs w:val="24"/>
        </w:rPr>
      </w:pPr>
      <w:r w:rsidRPr="007B6882">
        <w:rPr>
          <w:rFonts w:cs="Arial"/>
          <w:b/>
          <w:bCs/>
          <w:szCs w:val="24"/>
        </w:rPr>
        <w:t>Business Support</w:t>
      </w:r>
      <w:r>
        <w:rPr>
          <w:rFonts w:cs="Arial"/>
          <w:szCs w:val="24"/>
        </w:rPr>
        <w:t xml:space="preserve"> – net overspend £33k. This relates to a scanning project which was scheduled in the previous financial year but delayed due to Covid-19</w:t>
      </w:r>
    </w:p>
    <w:p w14:paraId="11BC10EB" w14:textId="77777777" w:rsidR="008470E0" w:rsidRPr="007B6882" w:rsidRDefault="008470E0" w:rsidP="008470E0">
      <w:pPr>
        <w:pStyle w:val="ListParagraph"/>
        <w:ind w:left="873"/>
        <w:jc w:val="both"/>
        <w:rPr>
          <w:rFonts w:cs="Arial"/>
          <w:szCs w:val="24"/>
        </w:rPr>
      </w:pPr>
    </w:p>
    <w:p w14:paraId="76E1B958" w14:textId="77777777" w:rsidR="008470E0" w:rsidRDefault="008470E0" w:rsidP="008470E0">
      <w:pPr>
        <w:pStyle w:val="ListParagraph"/>
        <w:numPr>
          <w:ilvl w:val="1"/>
          <w:numId w:val="6"/>
        </w:numPr>
        <w:ind w:left="873" w:hanging="567"/>
        <w:jc w:val="both"/>
        <w:rPr>
          <w:rFonts w:cs="Arial"/>
          <w:szCs w:val="24"/>
        </w:rPr>
      </w:pPr>
      <w:r w:rsidRPr="007B6882">
        <w:rPr>
          <w:rFonts w:cs="Arial"/>
          <w:b/>
          <w:bCs/>
          <w:szCs w:val="24"/>
        </w:rPr>
        <w:t>Customer Services/Access Harrow</w:t>
      </w:r>
      <w:r>
        <w:rPr>
          <w:rFonts w:cs="Arial"/>
          <w:szCs w:val="24"/>
        </w:rPr>
        <w:t xml:space="preserve"> – net overspend £359k. This reflects unachieved savings of £50k (£175k 2020/21 and £175k 2021/22). Cabinet agreed to close the telephone lines for Council Tax and Benefits resulting in a saving in staffing costs. The closure was due to take place from 1 October 2020 however Covid-19 prevented to the start of the programme of work required to shift to digital channels. It is anticipated that the work can be carried out over the next nine months and the discovery work for the digitalisation of Revenues &amp; Benefits has commenced.</w:t>
      </w:r>
    </w:p>
    <w:p w14:paraId="4C906B17" w14:textId="77777777" w:rsidR="008470E0" w:rsidRDefault="008470E0" w:rsidP="008470E0">
      <w:pPr>
        <w:pStyle w:val="ListParagraph"/>
        <w:ind w:left="873"/>
        <w:jc w:val="both"/>
        <w:rPr>
          <w:rFonts w:cs="Arial"/>
          <w:szCs w:val="24"/>
        </w:rPr>
      </w:pPr>
    </w:p>
    <w:p w14:paraId="5B693097" w14:textId="77777777" w:rsidR="008470E0" w:rsidRDefault="008470E0" w:rsidP="008470E0">
      <w:pPr>
        <w:pStyle w:val="ListParagraph"/>
        <w:numPr>
          <w:ilvl w:val="1"/>
          <w:numId w:val="6"/>
        </w:numPr>
        <w:ind w:left="873" w:hanging="567"/>
        <w:jc w:val="both"/>
        <w:rPr>
          <w:rFonts w:cs="Arial"/>
          <w:szCs w:val="24"/>
        </w:rPr>
      </w:pPr>
      <w:r w:rsidRPr="007B6882">
        <w:rPr>
          <w:rFonts w:cs="Arial"/>
          <w:b/>
          <w:bCs/>
          <w:szCs w:val="24"/>
        </w:rPr>
        <w:t>Management</w:t>
      </w:r>
      <w:r>
        <w:rPr>
          <w:rFonts w:cs="Arial"/>
          <w:szCs w:val="24"/>
        </w:rPr>
        <w:t xml:space="preserve"> – net overspend £179k. This is due to additional subscription costs £12k and the remainder relates to additional costs related to Covid-19 which will be funded by the centrally held COMF grant.</w:t>
      </w:r>
    </w:p>
    <w:p w14:paraId="6D79E586" w14:textId="77777777" w:rsidR="008470E0" w:rsidRDefault="008470E0" w:rsidP="008470E0">
      <w:pPr>
        <w:pStyle w:val="ListParagraph"/>
        <w:ind w:left="873"/>
        <w:jc w:val="both"/>
        <w:rPr>
          <w:rFonts w:cs="Arial"/>
          <w:szCs w:val="24"/>
        </w:rPr>
      </w:pPr>
    </w:p>
    <w:p w14:paraId="78672942" w14:textId="77777777" w:rsidR="008470E0" w:rsidRDefault="008470E0" w:rsidP="008470E0">
      <w:pPr>
        <w:pStyle w:val="ListParagraph"/>
        <w:numPr>
          <w:ilvl w:val="1"/>
          <w:numId w:val="6"/>
        </w:numPr>
        <w:ind w:left="873" w:hanging="567"/>
        <w:jc w:val="both"/>
        <w:rPr>
          <w:rFonts w:cs="Arial"/>
          <w:szCs w:val="24"/>
        </w:rPr>
      </w:pPr>
      <w:r w:rsidRPr="007B6882">
        <w:rPr>
          <w:rFonts w:cs="Arial"/>
          <w:b/>
          <w:bCs/>
          <w:szCs w:val="24"/>
        </w:rPr>
        <w:t>Strategy</w:t>
      </w:r>
      <w:r>
        <w:rPr>
          <w:rFonts w:cs="Arial"/>
          <w:szCs w:val="24"/>
        </w:rPr>
        <w:t xml:space="preserve"> – net overspend £227k. This relates to loss of income in the SIMS team as a result of Covid-19 which led to exam cancellations in schools of which £210k will be funded by the centrally held COMF grant. </w:t>
      </w:r>
    </w:p>
    <w:p w14:paraId="28A6B241" w14:textId="77777777" w:rsidR="008470E0" w:rsidRDefault="008470E0" w:rsidP="008470E0">
      <w:pPr>
        <w:pStyle w:val="ListParagraph"/>
        <w:ind w:left="873"/>
        <w:jc w:val="both"/>
        <w:rPr>
          <w:rFonts w:cs="Arial"/>
          <w:szCs w:val="24"/>
        </w:rPr>
      </w:pPr>
    </w:p>
    <w:p w14:paraId="1E112309" w14:textId="77777777" w:rsidR="008470E0" w:rsidRDefault="008470E0" w:rsidP="008470E0">
      <w:pPr>
        <w:pStyle w:val="ListParagraph"/>
        <w:numPr>
          <w:ilvl w:val="1"/>
          <w:numId w:val="6"/>
        </w:numPr>
        <w:ind w:left="873" w:hanging="567"/>
        <w:jc w:val="both"/>
        <w:rPr>
          <w:rFonts w:cs="Arial"/>
          <w:szCs w:val="24"/>
        </w:rPr>
      </w:pPr>
      <w:r w:rsidRPr="007B6882">
        <w:rPr>
          <w:rFonts w:cs="Arial"/>
          <w:b/>
          <w:bCs/>
          <w:szCs w:val="24"/>
        </w:rPr>
        <w:t>Finance &amp; Insurance</w:t>
      </w:r>
      <w:r>
        <w:rPr>
          <w:rFonts w:cs="Arial"/>
          <w:szCs w:val="24"/>
        </w:rPr>
        <w:t xml:space="preserve"> – net overspend £155k. This is due to increased insurance premiums as a result of rate increases across the general insurance market as well as loss of income as several schools have jointed the Government’s Risk Protection Arrangement insurance scheme.</w:t>
      </w:r>
    </w:p>
    <w:p w14:paraId="1279C552" w14:textId="77777777" w:rsidR="008470E0" w:rsidRDefault="008470E0" w:rsidP="008470E0">
      <w:pPr>
        <w:pStyle w:val="ListParagraph"/>
        <w:ind w:left="873"/>
        <w:jc w:val="both"/>
        <w:rPr>
          <w:rFonts w:cs="Arial"/>
          <w:szCs w:val="24"/>
        </w:rPr>
      </w:pPr>
    </w:p>
    <w:p w14:paraId="6493A557" w14:textId="38BECBBB" w:rsidR="008470E0" w:rsidRDefault="008470E0" w:rsidP="008470E0">
      <w:pPr>
        <w:pStyle w:val="ListParagraph"/>
        <w:numPr>
          <w:ilvl w:val="1"/>
          <w:numId w:val="6"/>
        </w:numPr>
        <w:ind w:left="873" w:hanging="567"/>
        <w:jc w:val="both"/>
        <w:rPr>
          <w:rFonts w:cs="Arial"/>
          <w:szCs w:val="24"/>
        </w:rPr>
      </w:pPr>
      <w:r w:rsidRPr="007B6882">
        <w:rPr>
          <w:rFonts w:cs="Arial"/>
          <w:b/>
          <w:bCs/>
          <w:szCs w:val="24"/>
        </w:rPr>
        <w:t>Revenues &amp; Benefits</w:t>
      </w:r>
      <w:r>
        <w:rPr>
          <w:rFonts w:cs="Arial"/>
          <w:szCs w:val="24"/>
        </w:rPr>
        <w:t xml:space="preserve"> – net overspend £330k. This is due to increased workloads due to Covid-19 and additional resource spend on post-pandemic recovery work to decrease backlogs which built up. In addition, there are extra pressures to a 40% increase in working age council tax support applications over the last 12 months. The remaining £30k relates to system licence costs.</w:t>
      </w:r>
    </w:p>
    <w:p w14:paraId="0F3AF08C" w14:textId="77777777" w:rsidR="008470E0" w:rsidRDefault="008470E0" w:rsidP="008470E0">
      <w:pPr>
        <w:pStyle w:val="ListParagraph"/>
        <w:ind w:left="873"/>
        <w:jc w:val="both"/>
        <w:rPr>
          <w:rFonts w:cs="Arial"/>
          <w:szCs w:val="24"/>
        </w:rPr>
      </w:pPr>
    </w:p>
    <w:p w14:paraId="632ADA96" w14:textId="77777777" w:rsidR="008470E0" w:rsidRPr="0016645B" w:rsidRDefault="008470E0" w:rsidP="008470E0">
      <w:pPr>
        <w:pStyle w:val="ListParagraph"/>
        <w:numPr>
          <w:ilvl w:val="1"/>
          <w:numId w:val="6"/>
        </w:numPr>
        <w:ind w:left="873" w:hanging="567"/>
        <w:jc w:val="both"/>
        <w:rPr>
          <w:rFonts w:cs="Arial"/>
          <w:szCs w:val="24"/>
        </w:rPr>
      </w:pPr>
      <w:r w:rsidRPr="007B6882">
        <w:rPr>
          <w:rFonts w:cs="Arial"/>
          <w:b/>
          <w:bCs/>
          <w:szCs w:val="24"/>
        </w:rPr>
        <w:t>Legal &amp; Governance</w:t>
      </w:r>
      <w:r>
        <w:rPr>
          <w:rFonts w:cs="Arial"/>
          <w:szCs w:val="24"/>
        </w:rPr>
        <w:t xml:space="preserve"> – net underspend £84k. This relates to Land Charges and Registration of Births, Deaths &amp; Marriages where the income is expected to exceed the budget.</w:t>
      </w:r>
    </w:p>
    <w:p w14:paraId="7E10A160" w14:textId="77777777" w:rsidR="008470E0" w:rsidRDefault="008470E0" w:rsidP="008470E0">
      <w:pPr>
        <w:pStyle w:val="ListParagraph"/>
        <w:ind w:left="567"/>
        <w:jc w:val="both"/>
        <w:rPr>
          <w:rFonts w:cs="Arial"/>
          <w:szCs w:val="24"/>
        </w:rPr>
      </w:pPr>
    </w:p>
    <w:bookmarkEnd w:id="1"/>
    <w:bookmarkEnd w:id="2"/>
    <w:bookmarkEnd w:id="3"/>
    <w:p w14:paraId="67B11937" w14:textId="7299BFC3" w:rsidR="008470E0" w:rsidRPr="008C35E5" w:rsidRDefault="008470E0" w:rsidP="008470E0">
      <w:pPr>
        <w:ind w:left="567"/>
        <w:rPr>
          <w:rFonts w:cs="Arial"/>
          <w:b/>
          <w:szCs w:val="24"/>
          <w:u w:val="single"/>
        </w:rPr>
      </w:pPr>
      <w:r w:rsidRPr="008C35E5">
        <w:rPr>
          <w:rFonts w:cs="Arial"/>
          <w:b/>
          <w:szCs w:val="24"/>
          <w:u w:val="single"/>
        </w:rPr>
        <w:t>COMMUNITY</w:t>
      </w:r>
    </w:p>
    <w:p w14:paraId="10213C55" w14:textId="77777777" w:rsidR="008470E0" w:rsidRPr="00AF347B" w:rsidRDefault="008470E0" w:rsidP="008470E0">
      <w:pPr>
        <w:pStyle w:val="ListParagraph"/>
        <w:ind w:left="567"/>
        <w:jc w:val="both"/>
        <w:rPr>
          <w:rFonts w:cs="Arial"/>
          <w:color w:val="FF0000"/>
          <w:szCs w:val="24"/>
        </w:rPr>
      </w:pPr>
    </w:p>
    <w:p w14:paraId="66144B30" w14:textId="77777777" w:rsidR="008470E0" w:rsidRPr="00C8641F" w:rsidRDefault="008470E0" w:rsidP="008470E0">
      <w:pPr>
        <w:pStyle w:val="ListParagraph"/>
        <w:numPr>
          <w:ilvl w:val="0"/>
          <w:numId w:val="6"/>
        </w:numPr>
        <w:ind w:left="567" w:hanging="567"/>
        <w:jc w:val="both"/>
        <w:rPr>
          <w:rFonts w:cs="Arial"/>
          <w:bCs/>
        </w:rPr>
      </w:pPr>
      <w:r w:rsidRPr="00C8641F">
        <w:rPr>
          <w:rFonts w:cs="Arial"/>
          <w:bCs/>
        </w:rPr>
        <w:t>As at Q1 the directorate is reporting a net overspend of £1.1</w:t>
      </w:r>
      <w:r>
        <w:rPr>
          <w:rFonts w:cs="Arial"/>
          <w:bCs/>
        </w:rPr>
        <w:t>59</w:t>
      </w:r>
      <w:r w:rsidRPr="00C8641F">
        <w:rPr>
          <w:rFonts w:cs="Arial"/>
          <w:bCs/>
        </w:rPr>
        <w:t xml:space="preserve">m after a draw down from reserves and cross divisional adjustments. </w:t>
      </w:r>
      <w:r>
        <w:rPr>
          <w:rFonts w:cs="Arial"/>
          <w:bCs/>
        </w:rPr>
        <w:t xml:space="preserve">It should be </w:t>
      </w:r>
      <w:r>
        <w:rPr>
          <w:rFonts w:cs="Arial"/>
          <w:bCs/>
        </w:rPr>
        <w:lastRenderedPageBreak/>
        <w:t>noted that whilst it’s assumed that Covid-19 related measures will cease in the financial year 2021/22 the expectation is that the legacy of these restrictions will continue to have an impact on the Council’s financial performance. Growth of £5m was added to the budget in 2021/22 to support the anticipated loss of income due to Covid-19.</w:t>
      </w:r>
    </w:p>
    <w:p w14:paraId="33956720" w14:textId="77777777" w:rsidR="008470E0" w:rsidRDefault="008470E0" w:rsidP="008470E0">
      <w:pPr>
        <w:jc w:val="both"/>
        <w:rPr>
          <w:rFonts w:cs="Arial"/>
          <w:bCs/>
        </w:rPr>
      </w:pPr>
    </w:p>
    <w:p w14:paraId="05A205AE" w14:textId="77777777" w:rsidR="008470E0" w:rsidRPr="00C8641F" w:rsidRDefault="008470E0" w:rsidP="008470E0">
      <w:pPr>
        <w:pStyle w:val="ListParagraph"/>
        <w:numPr>
          <w:ilvl w:val="0"/>
          <w:numId w:val="6"/>
        </w:numPr>
        <w:ind w:left="567" w:hanging="567"/>
        <w:jc w:val="both"/>
        <w:rPr>
          <w:rFonts w:cs="Arial"/>
          <w:bCs/>
        </w:rPr>
      </w:pPr>
      <w:r>
        <w:rPr>
          <w:rFonts w:cs="Arial"/>
          <w:b/>
          <w:szCs w:val="24"/>
        </w:rPr>
        <w:t>Environmental</w:t>
      </w:r>
      <w:r w:rsidRPr="00F678AF">
        <w:rPr>
          <w:rFonts w:cs="Arial"/>
          <w:b/>
          <w:szCs w:val="24"/>
        </w:rPr>
        <w:t xml:space="preserve"> Services </w:t>
      </w:r>
      <w:r>
        <w:rPr>
          <w:rFonts w:cs="Arial"/>
          <w:b/>
          <w:szCs w:val="24"/>
        </w:rPr>
        <w:t>– net overspend £1.189m</w:t>
      </w:r>
    </w:p>
    <w:p w14:paraId="33C08987" w14:textId="77777777" w:rsidR="008470E0" w:rsidRPr="00C8641F" w:rsidRDefault="008470E0" w:rsidP="008470E0">
      <w:pPr>
        <w:pStyle w:val="ListParagraph"/>
        <w:rPr>
          <w:rFonts w:cs="Arial"/>
          <w:bCs/>
        </w:rPr>
      </w:pPr>
    </w:p>
    <w:p w14:paraId="7C68C50C" w14:textId="77777777" w:rsidR="008470E0" w:rsidRDefault="008470E0" w:rsidP="008470E0">
      <w:pPr>
        <w:pStyle w:val="ListParagraph"/>
        <w:numPr>
          <w:ilvl w:val="0"/>
          <w:numId w:val="6"/>
        </w:numPr>
        <w:ind w:left="567" w:hanging="567"/>
        <w:jc w:val="both"/>
        <w:rPr>
          <w:rFonts w:cs="Arial"/>
          <w:bCs/>
        </w:rPr>
      </w:pPr>
      <w:r>
        <w:rPr>
          <w:rFonts w:cs="Arial"/>
          <w:bCs/>
        </w:rPr>
        <w:t>Estates &amp; Facilities Management</w:t>
      </w:r>
    </w:p>
    <w:p w14:paraId="5A5C68BA" w14:textId="77777777" w:rsidR="008470E0" w:rsidRPr="00C8641F" w:rsidRDefault="008470E0" w:rsidP="008470E0">
      <w:pPr>
        <w:pStyle w:val="ListParagraph"/>
        <w:rPr>
          <w:rFonts w:cs="Arial"/>
          <w:bCs/>
        </w:rPr>
      </w:pPr>
    </w:p>
    <w:p w14:paraId="262A7BB7" w14:textId="77777777" w:rsidR="008470E0" w:rsidRDefault="008470E0" w:rsidP="008470E0">
      <w:pPr>
        <w:pStyle w:val="ListParagraph"/>
        <w:numPr>
          <w:ilvl w:val="1"/>
          <w:numId w:val="6"/>
        </w:numPr>
        <w:ind w:left="1701" w:hanging="567"/>
        <w:jc w:val="both"/>
        <w:rPr>
          <w:rFonts w:cs="Arial"/>
          <w:bCs/>
        </w:rPr>
      </w:pPr>
      <w:r w:rsidRPr="00EA0FE5">
        <w:rPr>
          <w:rFonts w:cs="Arial"/>
          <w:b/>
        </w:rPr>
        <w:t>Facilities Management</w:t>
      </w:r>
      <w:r>
        <w:rPr>
          <w:rFonts w:cs="Arial"/>
          <w:bCs/>
        </w:rPr>
        <w:t xml:space="preserve"> – net overspend £1.030m. This is due to £209k Depot operational costs and £109k interim staffing arrangements across the service area. There is a further £711k of Covid-19 related works including fire risk assessments at Civic Centre and enhanced cleaning, fogging and security.</w:t>
      </w:r>
    </w:p>
    <w:p w14:paraId="46D8F4A5" w14:textId="77777777" w:rsidR="008470E0" w:rsidRDefault="008470E0" w:rsidP="008470E0">
      <w:pPr>
        <w:pStyle w:val="ListParagraph"/>
        <w:ind w:left="1701"/>
        <w:jc w:val="both"/>
        <w:rPr>
          <w:rFonts w:cs="Arial"/>
          <w:bCs/>
        </w:rPr>
      </w:pPr>
    </w:p>
    <w:p w14:paraId="0C2E3DA1" w14:textId="77777777" w:rsidR="008470E0" w:rsidRPr="00517CFC" w:rsidRDefault="008470E0" w:rsidP="008470E0">
      <w:pPr>
        <w:pStyle w:val="ListParagraph"/>
        <w:numPr>
          <w:ilvl w:val="1"/>
          <w:numId w:val="6"/>
        </w:numPr>
        <w:ind w:left="1701" w:hanging="567"/>
        <w:jc w:val="both"/>
        <w:rPr>
          <w:rFonts w:cs="Arial"/>
          <w:bCs/>
        </w:rPr>
      </w:pPr>
      <w:r w:rsidRPr="00EA0FE5">
        <w:rPr>
          <w:rFonts w:cs="Arial"/>
          <w:b/>
        </w:rPr>
        <w:t>Corporate Estates</w:t>
      </w:r>
      <w:r>
        <w:rPr>
          <w:rFonts w:cs="Arial"/>
          <w:bCs/>
        </w:rPr>
        <w:t xml:space="preserve"> – net underspend £159k. This is due to over recovery of rental income across the Council’s corporate property portfolio</w:t>
      </w:r>
    </w:p>
    <w:p w14:paraId="64FEFB3D" w14:textId="77777777" w:rsidR="008470E0" w:rsidRDefault="008470E0" w:rsidP="008470E0">
      <w:pPr>
        <w:rPr>
          <w:rFonts w:cs="Arial"/>
          <w:b/>
          <w:szCs w:val="24"/>
          <w:u w:val="single"/>
        </w:rPr>
      </w:pPr>
    </w:p>
    <w:p w14:paraId="24F94461" w14:textId="77777777" w:rsidR="008470E0" w:rsidRDefault="008470E0" w:rsidP="008470E0">
      <w:pPr>
        <w:pStyle w:val="ListParagraph"/>
        <w:numPr>
          <w:ilvl w:val="0"/>
          <w:numId w:val="6"/>
        </w:numPr>
        <w:ind w:left="567" w:hanging="567"/>
        <w:jc w:val="both"/>
        <w:rPr>
          <w:rFonts w:cs="Arial"/>
          <w:bCs/>
        </w:rPr>
      </w:pPr>
      <w:r>
        <w:rPr>
          <w:rFonts w:cs="Arial"/>
          <w:bCs/>
        </w:rPr>
        <w:t>Parking and Network Management</w:t>
      </w:r>
    </w:p>
    <w:p w14:paraId="09C10253" w14:textId="77777777" w:rsidR="008470E0" w:rsidRDefault="008470E0" w:rsidP="008470E0">
      <w:pPr>
        <w:pStyle w:val="ListParagraph"/>
        <w:ind w:left="1701"/>
        <w:jc w:val="both"/>
        <w:rPr>
          <w:rFonts w:cs="Arial"/>
          <w:bCs/>
        </w:rPr>
      </w:pPr>
    </w:p>
    <w:p w14:paraId="4C82EFC3" w14:textId="77777777" w:rsidR="008470E0" w:rsidRPr="00517CFC" w:rsidRDefault="008470E0" w:rsidP="008470E0">
      <w:pPr>
        <w:pStyle w:val="ListParagraph"/>
        <w:numPr>
          <w:ilvl w:val="1"/>
          <w:numId w:val="6"/>
        </w:numPr>
        <w:ind w:left="1701" w:hanging="567"/>
        <w:jc w:val="both"/>
        <w:rPr>
          <w:rFonts w:cs="Arial"/>
          <w:bCs/>
        </w:rPr>
      </w:pPr>
      <w:r w:rsidRPr="00EA0FE5">
        <w:rPr>
          <w:rFonts w:cs="Arial"/>
          <w:b/>
        </w:rPr>
        <w:t>Parking Services</w:t>
      </w:r>
      <w:r>
        <w:rPr>
          <w:rFonts w:cs="Arial"/>
          <w:bCs/>
        </w:rPr>
        <w:t xml:space="preserve"> – income is expected to be lower than pre-Covid-19 levels however this is largely offset by budget growth in the MTFS to reflect the losses of income. Therefore, this area is forecasting a balanced budget.</w:t>
      </w:r>
    </w:p>
    <w:p w14:paraId="5634DBDD" w14:textId="77777777" w:rsidR="008470E0" w:rsidRPr="00B04563" w:rsidRDefault="008470E0" w:rsidP="008470E0">
      <w:pPr>
        <w:pStyle w:val="ListParagraph"/>
        <w:rPr>
          <w:rFonts w:asciiTheme="minorHAnsi" w:hAnsiTheme="minorHAnsi" w:cstheme="minorHAnsi"/>
          <w:bCs/>
          <w:sz w:val="22"/>
          <w:szCs w:val="22"/>
        </w:rPr>
      </w:pPr>
    </w:p>
    <w:p w14:paraId="44E386D3" w14:textId="77777777" w:rsidR="008470E0" w:rsidRDefault="008470E0" w:rsidP="008470E0">
      <w:pPr>
        <w:pStyle w:val="ListParagraph"/>
        <w:numPr>
          <w:ilvl w:val="0"/>
          <w:numId w:val="6"/>
        </w:numPr>
        <w:ind w:left="567" w:hanging="567"/>
        <w:jc w:val="both"/>
        <w:rPr>
          <w:rFonts w:cs="Arial"/>
          <w:bCs/>
        </w:rPr>
      </w:pPr>
      <w:r>
        <w:rPr>
          <w:rFonts w:cs="Arial"/>
          <w:bCs/>
        </w:rPr>
        <w:t>Divisional Director</w:t>
      </w:r>
    </w:p>
    <w:p w14:paraId="67B828D0" w14:textId="77777777" w:rsidR="008470E0" w:rsidRPr="00EA0FE5" w:rsidRDefault="008470E0" w:rsidP="008470E0">
      <w:pPr>
        <w:pStyle w:val="ListParagraph"/>
        <w:ind w:left="1701"/>
        <w:jc w:val="both"/>
        <w:rPr>
          <w:rFonts w:cs="Arial"/>
          <w:bCs/>
        </w:rPr>
      </w:pPr>
    </w:p>
    <w:p w14:paraId="1F029D70" w14:textId="77777777" w:rsidR="008470E0" w:rsidRDefault="008470E0" w:rsidP="008470E0">
      <w:pPr>
        <w:pStyle w:val="ListParagraph"/>
        <w:numPr>
          <w:ilvl w:val="1"/>
          <w:numId w:val="6"/>
        </w:numPr>
        <w:ind w:left="1701" w:hanging="567"/>
        <w:jc w:val="both"/>
        <w:rPr>
          <w:rFonts w:cs="Arial"/>
          <w:bCs/>
        </w:rPr>
      </w:pPr>
      <w:r w:rsidRPr="00EA0FE5">
        <w:rPr>
          <w:rFonts w:cs="Arial"/>
          <w:b/>
        </w:rPr>
        <w:t>Staffing</w:t>
      </w:r>
      <w:r>
        <w:rPr>
          <w:rFonts w:cs="Arial"/>
          <w:bCs/>
        </w:rPr>
        <w:t xml:space="preserve"> – net underspend £75k. This is due to 2 vacant divisional director posts which at present are being covered by an interim member of staff</w:t>
      </w:r>
    </w:p>
    <w:p w14:paraId="425E9E6A" w14:textId="77777777" w:rsidR="008470E0" w:rsidRPr="00517CFC" w:rsidRDefault="008470E0" w:rsidP="008470E0">
      <w:pPr>
        <w:jc w:val="both"/>
        <w:rPr>
          <w:rFonts w:asciiTheme="minorHAnsi" w:hAnsiTheme="minorHAnsi" w:cstheme="minorHAnsi"/>
          <w:bCs/>
          <w:sz w:val="22"/>
          <w:szCs w:val="18"/>
        </w:rPr>
      </w:pPr>
    </w:p>
    <w:p w14:paraId="42F02259" w14:textId="77777777" w:rsidR="008470E0" w:rsidRDefault="008470E0" w:rsidP="008470E0">
      <w:pPr>
        <w:pStyle w:val="ListParagraph"/>
        <w:numPr>
          <w:ilvl w:val="0"/>
          <w:numId w:val="6"/>
        </w:numPr>
        <w:ind w:left="567" w:hanging="567"/>
        <w:jc w:val="both"/>
        <w:rPr>
          <w:rFonts w:cs="Arial"/>
          <w:bCs/>
        </w:rPr>
      </w:pPr>
      <w:r>
        <w:rPr>
          <w:rFonts w:cs="Arial"/>
          <w:bCs/>
        </w:rPr>
        <w:t>Licensing &amp; Enforcement</w:t>
      </w:r>
    </w:p>
    <w:p w14:paraId="11628202" w14:textId="77777777" w:rsidR="008470E0" w:rsidRPr="00EA0FE5" w:rsidRDefault="008470E0" w:rsidP="008470E0">
      <w:pPr>
        <w:pStyle w:val="ListParagraph"/>
        <w:ind w:left="1701"/>
        <w:jc w:val="both"/>
        <w:rPr>
          <w:rFonts w:cs="Arial"/>
          <w:bCs/>
        </w:rPr>
      </w:pPr>
    </w:p>
    <w:p w14:paraId="0B2239C2" w14:textId="77777777" w:rsidR="008470E0" w:rsidRDefault="008470E0" w:rsidP="008470E0">
      <w:pPr>
        <w:pStyle w:val="ListParagraph"/>
        <w:numPr>
          <w:ilvl w:val="1"/>
          <w:numId w:val="6"/>
        </w:numPr>
        <w:ind w:left="1701" w:hanging="567"/>
        <w:jc w:val="both"/>
        <w:rPr>
          <w:rFonts w:cs="Arial"/>
          <w:bCs/>
        </w:rPr>
      </w:pPr>
      <w:r w:rsidRPr="00EA0FE5">
        <w:rPr>
          <w:rFonts w:cs="Arial"/>
          <w:b/>
        </w:rPr>
        <w:t>Covid-19 Marshalls</w:t>
      </w:r>
      <w:r>
        <w:rPr>
          <w:rFonts w:cs="Arial"/>
          <w:bCs/>
        </w:rPr>
        <w:t xml:space="preserve"> – net overspend £398k. </w:t>
      </w:r>
    </w:p>
    <w:p w14:paraId="3B0E6F57" w14:textId="77777777" w:rsidR="008470E0" w:rsidRDefault="008470E0" w:rsidP="008470E0">
      <w:pPr>
        <w:pStyle w:val="ListParagraph"/>
        <w:jc w:val="both"/>
        <w:rPr>
          <w:rFonts w:asciiTheme="minorHAnsi" w:hAnsiTheme="minorHAnsi" w:cstheme="minorHAnsi"/>
          <w:bCs/>
          <w:sz w:val="22"/>
          <w:szCs w:val="18"/>
        </w:rPr>
      </w:pPr>
    </w:p>
    <w:p w14:paraId="33D2285C" w14:textId="77777777" w:rsidR="008470E0" w:rsidRDefault="008470E0" w:rsidP="008470E0">
      <w:pPr>
        <w:pStyle w:val="ListParagraph"/>
        <w:numPr>
          <w:ilvl w:val="0"/>
          <w:numId w:val="6"/>
        </w:numPr>
        <w:ind w:left="567" w:hanging="567"/>
        <w:jc w:val="both"/>
        <w:rPr>
          <w:rFonts w:cs="Arial"/>
          <w:bCs/>
        </w:rPr>
      </w:pPr>
      <w:r>
        <w:rPr>
          <w:rFonts w:cs="Arial"/>
          <w:bCs/>
        </w:rPr>
        <w:t>Strategy, Development &amp; Performance</w:t>
      </w:r>
    </w:p>
    <w:p w14:paraId="20631D67" w14:textId="77777777" w:rsidR="008470E0" w:rsidRDefault="008470E0" w:rsidP="008470E0">
      <w:pPr>
        <w:pStyle w:val="ListParagraph"/>
        <w:ind w:left="1701"/>
        <w:jc w:val="both"/>
        <w:rPr>
          <w:rFonts w:cs="Arial"/>
          <w:bCs/>
        </w:rPr>
      </w:pPr>
    </w:p>
    <w:p w14:paraId="156BB2F1" w14:textId="77777777" w:rsidR="008470E0" w:rsidRDefault="008470E0" w:rsidP="008470E0">
      <w:pPr>
        <w:pStyle w:val="ListParagraph"/>
        <w:numPr>
          <w:ilvl w:val="1"/>
          <w:numId w:val="6"/>
        </w:numPr>
        <w:ind w:left="1701" w:hanging="567"/>
        <w:jc w:val="both"/>
        <w:rPr>
          <w:rFonts w:cs="Arial"/>
          <w:bCs/>
        </w:rPr>
      </w:pPr>
      <w:r w:rsidRPr="00EA0FE5">
        <w:rPr>
          <w:rFonts w:cs="Arial"/>
          <w:b/>
        </w:rPr>
        <w:t>Community Engagement</w:t>
      </w:r>
      <w:r>
        <w:rPr>
          <w:rFonts w:cs="Arial"/>
          <w:bCs/>
        </w:rPr>
        <w:t xml:space="preserve"> – net underspend £138k. This is due to vacant posts across the Community Engagement and School Crossing Patrol teams.</w:t>
      </w:r>
    </w:p>
    <w:p w14:paraId="5FBC75B4" w14:textId="77777777" w:rsidR="008470E0" w:rsidRDefault="008470E0" w:rsidP="008470E0">
      <w:pPr>
        <w:pStyle w:val="ListParagraph"/>
        <w:ind w:left="1701"/>
        <w:jc w:val="both"/>
        <w:rPr>
          <w:rFonts w:cs="Arial"/>
          <w:bCs/>
        </w:rPr>
      </w:pPr>
    </w:p>
    <w:p w14:paraId="5BFC7665" w14:textId="77777777" w:rsidR="008470E0" w:rsidRDefault="008470E0" w:rsidP="008470E0">
      <w:pPr>
        <w:pStyle w:val="ListParagraph"/>
        <w:numPr>
          <w:ilvl w:val="1"/>
          <w:numId w:val="6"/>
        </w:numPr>
        <w:ind w:left="1701" w:hanging="567"/>
        <w:jc w:val="both"/>
        <w:rPr>
          <w:rFonts w:cs="Arial"/>
          <w:bCs/>
        </w:rPr>
      </w:pPr>
      <w:r w:rsidRPr="00EA0FE5">
        <w:rPr>
          <w:rFonts w:cs="Arial"/>
          <w:b/>
        </w:rPr>
        <w:t>Contracts Management</w:t>
      </w:r>
      <w:r>
        <w:rPr>
          <w:rFonts w:cs="Arial"/>
          <w:bCs/>
        </w:rPr>
        <w:t xml:space="preserve"> – net overspend £32k. This is as a result of a forecast overspend on the Public Mortuary SLA which is partially offset by a small underspend on service overheads.</w:t>
      </w:r>
    </w:p>
    <w:p w14:paraId="7F56F221" w14:textId="77777777" w:rsidR="008470E0" w:rsidRPr="00B04563" w:rsidRDefault="008470E0" w:rsidP="008470E0">
      <w:pPr>
        <w:pStyle w:val="ListParagraph"/>
        <w:jc w:val="both"/>
        <w:rPr>
          <w:rFonts w:asciiTheme="minorHAnsi" w:hAnsiTheme="minorHAnsi" w:cstheme="minorHAnsi"/>
          <w:bCs/>
          <w:sz w:val="22"/>
          <w:szCs w:val="18"/>
        </w:rPr>
      </w:pPr>
    </w:p>
    <w:p w14:paraId="4593DC57" w14:textId="77777777" w:rsidR="008470E0" w:rsidRDefault="008470E0" w:rsidP="008470E0">
      <w:pPr>
        <w:pStyle w:val="ListParagraph"/>
        <w:numPr>
          <w:ilvl w:val="0"/>
          <w:numId w:val="6"/>
        </w:numPr>
        <w:ind w:left="567" w:hanging="567"/>
        <w:jc w:val="both"/>
        <w:rPr>
          <w:rFonts w:cs="Arial"/>
          <w:bCs/>
        </w:rPr>
      </w:pPr>
      <w:r>
        <w:rPr>
          <w:rFonts w:cs="Arial"/>
          <w:bCs/>
        </w:rPr>
        <w:t>Transport and Environmental Operations</w:t>
      </w:r>
    </w:p>
    <w:p w14:paraId="5478D54A" w14:textId="77777777" w:rsidR="008470E0" w:rsidRDefault="008470E0" w:rsidP="008470E0">
      <w:pPr>
        <w:pStyle w:val="ListParagraph"/>
        <w:ind w:left="2160"/>
        <w:jc w:val="both"/>
        <w:rPr>
          <w:rFonts w:cs="Arial"/>
          <w:bCs/>
        </w:rPr>
      </w:pPr>
    </w:p>
    <w:p w14:paraId="3A9B5000" w14:textId="77777777" w:rsidR="008470E0" w:rsidRDefault="008470E0" w:rsidP="008470E0">
      <w:pPr>
        <w:pStyle w:val="ListParagraph"/>
        <w:numPr>
          <w:ilvl w:val="1"/>
          <w:numId w:val="6"/>
        </w:numPr>
        <w:ind w:left="1701" w:hanging="567"/>
        <w:jc w:val="both"/>
        <w:rPr>
          <w:rFonts w:cs="Arial"/>
          <w:bCs/>
        </w:rPr>
      </w:pPr>
      <w:r w:rsidRPr="00EA0FE5">
        <w:rPr>
          <w:rFonts w:cs="Arial"/>
          <w:b/>
        </w:rPr>
        <w:lastRenderedPageBreak/>
        <w:t xml:space="preserve">Transport </w:t>
      </w:r>
      <w:r>
        <w:rPr>
          <w:rFonts w:cs="Arial"/>
          <w:bCs/>
        </w:rPr>
        <w:t>– net overspend £55k. This is due to staffing costs in the Fleet Management team</w:t>
      </w:r>
    </w:p>
    <w:p w14:paraId="7358DADA" w14:textId="77777777" w:rsidR="008470E0" w:rsidRPr="00EA0FE5" w:rsidRDefault="008470E0" w:rsidP="008470E0">
      <w:pPr>
        <w:pStyle w:val="ListParagraph"/>
        <w:ind w:left="1701" w:hanging="567"/>
        <w:jc w:val="both"/>
        <w:rPr>
          <w:rFonts w:cs="Arial"/>
          <w:bCs/>
        </w:rPr>
      </w:pPr>
    </w:p>
    <w:p w14:paraId="32D0C8A5" w14:textId="77777777" w:rsidR="008470E0" w:rsidRDefault="008470E0" w:rsidP="008470E0">
      <w:pPr>
        <w:pStyle w:val="ListParagraph"/>
        <w:numPr>
          <w:ilvl w:val="1"/>
          <w:numId w:val="6"/>
        </w:numPr>
        <w:ind w:left="1701" w:hanging="567"/>
        <w:jc w:val="both"/>
        <w:rPr>
          <w:rFonts w:cs="Arial"/>
          <w:bCs/>
        </w:rPr>
      </w:pPr>
      <w:r w:rsidRPr="00EA0FE5">
        <w:rPr>
          <w:rFonts w:cs="Arial"/>
          <w:b/>
        </w:rPr>
        <w:t>Waste Management</w:t>
      </w:r>
      <w:r>
        <w:rPr>
          <w:rFonts w:cs="Arial"/>
          <w:bCs/>
        </w:rPr>
        <w:t xml:space="preserve"> – net overspend £46k. This relates to service overheads.</w:t>
      </w:r>
    </w:p>
    <w:p w14:paraId="0EAE27B4" w14:textId="77777777" w:rsidR="008470E0" w:rsidRDefault="008470E0" w:rsidP="008470E0">
      <w:pPr>
        <w:pStyle w:val="ListParagraph"/>
        <w:jc w:val="both"/>
        <w:rPr>
          <w:rFonts w:asciiTheme="minorHAnsi" w:hAnsiTheme="minorHAnsi" w:cstheme="minorHAnsi"/>
          <w:bCs/>
          <w:sz w:val="22"/>
          <w:szCs w:val="18"/>
          <w:u w:val="single"/>
        </w:rPr>
      </w:pPr>
    </w:p>
    <w:p w14:paraId="4A35DBFD" w14:textId="77777777" w:rsidR="008470E0" w:rsidRPr="002144CC" w:rsidRDefault="008470E0" w:rsidP="008470E0">
      <w:pPr>
        <w:pStyle w:val="ListParagraph"/>
        <w:numPr>
          <w:ilvl w:val="0"/>
          <w:numId w:val="6"/>
        </w:numPr>
        <w:ind w:left="567" w:hanging="567"/>
        <w:jc w:val="both"/>
        <w:rPr>
          <w:rFonts w:cs="Arial"/>
          <w:bCs/>
        </w:rPr>
      </w:pPr>
      <w:r>
        <w:rPr>
          <w:rFonts w:cs="Arial"/>
          <w:b/>
          <w:szCs w:val="24"/>
        </w:rPr>
        <w:t>Directorate Management – net overspend £178k</w:t>
      </w:r>
    </w:p>
    <w:p w14:paraId="0F454A36" w14:textId="77777777" w:rsidR="008470E0" w:rsidRDefault="008470E0" w:rsidP="008470E0">
      <w:pPr>
        <w:pStyle w:val="ListParagraph"/>
        <w:ind w:left="567"/>
        <w:jc w:val="both"/>
        <w:rPr>
          <w:rFonts w:cs="Arial"/>
          <w:bCs/>
        </w:rPr>
      </w:pPr>
    </w:p>
    <w:p w14:paraId="703CB02A" w14:textId="77777777" w:rsidR="008470E0" w:rsidRPr="00F678AF" w:rsidRDefault="008470E0" w:rsidP="008470E0">
      <w:pPr>
        <w:pStyle w:val="ListParagraph"/>
        <w:numPr>
          <w:ilvl w:val="0"/>
          <w:numId w:val="6"/>
        </w:numPr>
        <w:ind w:left="567" w:hanging="567"/>
        <w:jc w:val="both"/>
        <w:rPr>
          <w:rFonts w:cs="Arial"/>
          <w:bCs/>
        </w:rPr>
      </w:pPr>
      <w:r>
        <w:rPr>
          <w:rFonts w:cs="Arial"/>
          <w:bCs/>
        </w:rPr>
        <w:t>Covid-19 is expected to continue to result in losses of income in 2021/22. As part of the MTFS process budget growth of £5m was added to the Community directorate budget to recognise anticipated losses of income. This £5m growth is held within Directorate Management. As at Q1 it is anticipated that the losses of income due to Covid-19 will be £5.178m resulting in a net overspend of £178k.</w:t>
      </w:r>
    </w:p>
    <w:p w14:paraId="633F1E16" w14:textId="77777777" w:rsidR="008470E0" w:rsidRPr="00F678AF" w:rsidRDefault="008470E0" w:rsidP="008470E0">
      <w:pPr>
        <w:pStyle w:val="ListParagraph"/>
        <w:ind w:left="567"/>
        <w:jc w:val="both"/>
        <w:rPr>
          <w:rFonts w:cs="Arial"/>
          <w:bCs/>
        </w:rPr>
      </w:pPr>
    </w:p>
    <w:p w14:paraId="07722250" w14:textId="77777777" w:rsidR="008470E0" w:rsidRPr="002144CC" w:rsidRDefault="008470E0" w:rsidP="008470E0">
      <w:pPr>
        <w:pStyle w:val="ListParagraph"/>
        <w:numPr>
          <w:ilvl w:val="0"/>
          <w:numId w:val="6"/>
        </w:numPr>
        <w:ind w:left="567" w:hanging="567"/>
        <w:jc w:val="both"/>
        <w:rPr>
          <w:rFonts w:cs="Arial"/>
          <w:bCs/>
        </w:rPr>
      </w:pPr>
      <w:r>
        <w:rPr>
          <w:rFonts w:cs="Arial"/>
          <w:b/>
          <w:szCs w:val="24"/>
        </w:rPr>
        <w:t>Cultural Services – net underspend £207k</w:t>
      </w:r>
    </w:p>
    <w:p w14:paraId="409B1541" w14:textId="77777777" w:rsidR="008470E0" w:rsidRDefault="008470E0" w:rsidP="008470E0">
      <w:pPr>
        <w:pStyle w:val="ListParagraph"/>
        <w:ind w:left="2160"/>
        <w:jc w:val="both"/>
        <w:rPr>
          <w:rFonts w:cs="Arial"/>
          <w:bCs/>
        </w:rPr>
      </w:pPr>
    </w:p>
    <w:p w14:paraId="188B2F50" w14:textId="77777777" w:rsidR="008470E0" w:rsidRDefault="008470E0" w:rsidP="008470E0">
      <w:pPr>
        <w:pStyle w:val="ListParagraph"/>
        <w:numPr>
          <w:ilvl w:val="1"/>
          <w:numId w:val="6"/>
        </w:numPr>
        <w:ind w:left="1701" w:hanging="567"/>
        <w:jc w:val="both"/>
        <w:rPr>
          <w:rFonts w:cs="Arial"/>
          <w:bCs/>
        </w:rPr>
      </w:pPr>
      <w:r w:rsidRPr="00EA0FE5">
        <w:rPr>
          <w:rFonts w:cs="Arial"/>
          <w:b/>
        </w:rPr>
        <w:t>Harrow Museum</w:t>
      </w:r>
      <w:r>
        <w:rPr>
          <w:rFonts w:cs="Arial"/>
          <w:bCs/>
        </w:rPr>
        <w:t xml:space="preserve"> – net underspend £241k. A one-off payment of £325k is due from the National Heritage Lottery fund. This relates to the final 10% of the grant award for the Headstone Manor refurbishment project as the grant condition only allows that this funding is released after the final monitoring and evaluation report has been submitted and approved. This is partially offset by a pressure of £69k due to sunk costs in relation to proposals for a new funding application for Headstone Manor. In addition, there is a further £15k of additional Covid-19 costs.</w:t>
      </w:r>
    </w:p>
    <w:p w14:paraId="2EA2DB97" w14:textId="77777777" w:rsidR="008470E0" w:rsidRDefault="008470E0" w:rsidP="008470E0">
      <w:pPr>
        <w:pStyle w:val="ListParagraph"/>
        <w:ind w:left="1701" w:hanging="567"/>
        <w:jc w:val="both"/>
        <w:rPr>
          <w:rFonts w:cs="Arial"/>
          <w:bCs/>
        </w:rPr>
      </w:pPr>
    </w:p>
    <w:p w14:paraId="38CF0D4B" w14:textId="77777777" w:rsidR="008470E0" w:rsidRDefault="008470E0" w:rsidP="008470E0">
      <w:pPr>
        <w:pStyle w:val="ListParagraph"/>
        <w:numPr>
          <w:ilvl w:val="1"/>
          <w:numId w:val="6"/>
        </w:numPr>
        <w:ind w:left="1701" w:hanging="567"/>
        <w:jc w:val="both"/>
        <w:rPr>
          <w:rFonts w:cs="Arial"/>
          <w:bCs/>
        </w:rPr>
      </w:pPr>
      <w:r w:rsidRPr="00EA0FE5">
        <w:rPr>
          <w:rFonts w:cs="Arial"/>
          <w:b/>
        </w:rPr>
        <w:t>Harrow Arts Centre</w:t>
      </w:r>
      <w:r>
        <w:rPr>
          <w:rFonts w:cs="Arial"/>
          <w:bCs/>
        </w:rPr>
        <w:t xml:space="preserve"> – net overspend £39k. This is due to additional enhanced cleaning costs related to Covid-19.</w:t>
      </w:r>
    </w:p>
    <w:p w14:paraId="7A3DBD20" w14:textId="77777777" w:rsidR="008470E0" w:rsidRDefault="008470E0" w:rsidP="008470E0">
      <w:pPr>
        <w:pStyle w:val="ListParagraph"/>
        <w:ind w:left="1701" w:hanging="567"/>
        <w:jc w:val="both"/>
        <w:rPr>
          <w:rFonts w:cs="Arial"/>
          <w:bCs/>
        </w:rPr>
      </w:pPr>
    </w:p>
    <w:p w14:paraId="2D8D6E63" w14:textId="77777777" w:rsidR="008470E0" w:rsidRPr="00F678AF" w:rsidRDefault="008470E0" w:rsidP="008470E0">
      <w:pPr>
        <w:pStyle w:val="ListParagraph"/>
        <w:numPr>
          <w:ilvl w:val="1"/>
          <w:numId w:val="6"/>
        </w:numPr>
        <w:ind w:left="1701" w:hanging="567"/>
        <w:jc w:val="both"/>
        <w:rPr>
          <w:rFonts w:cs="Arial"/>
          <w:bCs/>
        </w:rPr>
      </w:pPr>
      <w:r w:rsidRPr="00EA0FE5">
        <w:rPr>
          <w:rFonts w:cs="Arial"/>
          <w:b/>
        </w:rPr>
        <w:t>Libraries</w:t>
      </w:r>
      <w:r>
        <w:rPr>
          <w:rFonts w:cs="Arial"/>
          <w:bCs/>
        </w:rPr>
        <w:t xml:space="preserve"> – net underspend £5k. This is due to several part-time posts across the library portfolio which are forecast to remain vacant throughout the financial year of £30k partially offset by £25k in additional enhanced cleaning costs relating to Covid-19.</w:t>
      </w:r>
    </w:p>
    <w:p w14:paraId="4BAD189A" w14:textId="77777777" w:rsidR="008470E0" w:rsidRPr="00F678AF" w:rsidRDefault="008470E0" w:rsidP="008470E0">
      <w:pPr>
        <w:pStyle w:val="ListParagraph"/>
        <w:ind w:left="567"/>
        <w:jc w:val="both"/>
        <w:rPr>
          <w:rFonts w:cs="Arial"/>
          <w:bCs/>
        </w:rPr>
      </w:pPr>
    </w:p>
    <w:p w14:paraId="4A959C31" w14:textId="77777777" w:rsidR="008470E0" w:rsidRPr="00C906E3" w:rsidRDefault="008470E0" w:rsidP="008470E0">
      <w:pPr>
        <w:pStyle w:val="ListParagraph"/>
        <w:numPr>
          <w:ilvl w:val="0"/>
          <w:numId w:val="6"/>
        </w:numPr>
        <w:ind w:left="567" w:hanging="567"/>
        <w:jc w:val="both"/>
        <w:rPr>
          <w:rFonts w:cs="Arial"/>
          <w:bCs/>
        </w:rPr>
      </w:pPr>
      <w:r>
        <w:rPr>
          <w:rFonts w:cs="Arial"/>
          <w:b/>
          <w:szCs w:val="24"/>
        </w:rPr>
        <w:t>Housing General Fund</w:t>
      </w:r>
    </w:p>
    <w:p w14:paraId="6895F23E" w14:textId="77777777" w:rsidR="008470E0" w:rsidRPr="00EA0FE5" w:rsidRDefault="008470E0" w:rsidP="008470E0">
      <w:pPr>
        <w:pStyle w:val="ListParagraph"/>
        <w:ind w:left="567"/>
        <w:jc w:val="both"/>
        <w:rPr>
          <w:rFonts w:cs="Arial"/>
          <w:bCs/>
        </w:rPr>
      </w:pPr>
    </w:p>
    <w:p w14:paraId="5B7B2AAF" w14:textId="77777777" w:rsidR="008470E0" w:rsidRPr="00C906E3" w:rsidRDefault="008470E0" w:rsidP="008470E0">
      <w:pPr>
        <w:pStyle w:val="ListParagraph"/>
        <w:numPr>
          <w:ilvl w:val="0"/>
          <w:numId w:val="6"/>
        </w:numPr>
        <w:ind w:left="567" w:hanging="567"/>
        <w:jc w:val="both"/>
        <w:rPr>
          <w:rFonts w:cs="Arial"/>
          <w:bCs/>
        </w:rPr>
      </w:pPr>
      <w:r>
        <w:rPr>
          <w:rFonts w:cs="Arial"/>
          <w:bCs/>
          <w:szCs w:val="24"/>
        </w:rPr>
        <w:t>As at Q1 the Housing General Fund is projecting a balanced budget after a contribution to reserves of £1.020m and a cross divisional adjustment of £68k. The forecast also includes utilising £1.226m from the Homelessness Prevention Grant (formerly FHSG) to meet the costs associated with the Homelessness Reduction Act.</w:t>
      </w:r>
    </w:p>
    <w:p w14:paraId="1F216693" w14:textId="77777777" w:rsidR="008470E0" w:rsidRPr="00EA0FE5" w:rsidRDefault="008470E0" w:rsidP="008470E0">
      <w:pPr>
        <w:pStyle w:val="ListParagraph"/>
        <w:ind w:left="567"/>
        <w:jc w:val="both"/>
        <w:rPr>
          <w:rFonts w:cs="Arial"/>
          <w:bCs/>
        </w:rPr>
      </w:pPr>
    </w:p>
    <w:p w14:paraId="54229810" w14:textId="3C74390A" w:rsidR="008470E0" w:rsidRPr="008470E0" w:rsidRDefault="008470E0" w:rsidP="008470E0">
      <w:pPr>
        <w:pStyle w:val="ListParagraph"/>
        <w:numPr>
          <w:ilvl w:val="0"/>
          <w:numId w:val="6"/>
        </w:numPr>
        <w:ind w:left="567" w:hanging="567"/>
        <w:jc w:val="both"/>
        <w:rPr>
          <w:rFonts w:cs="Arial"/>
          <w:bCs/>
        </w:rPr>
      </w:pPr>
      <w:r w:rsidRPr="008470E0">
        <w:rPr>
          <w:rFonts w:cs="Arial"/>
          <w:bCs/>
          <w:szCs w:val="24"/>
        </w:rPr>
        <w:t>It is expected that there will be a significant increase in homelessness approaches from the private rented sector as Government support and mitigations such as the ban on evictions, furlough scheme extension and the extended six-month Section 21 notice period comes to an end. Mitigations are currently being worked on to minimise any financial implications.</w:t>
      </w:r>
    </w:p>
    <w:p w14:paraId="4E30751A" w14:textId="77777777" w:rsidR="008470E0" w:rsidRDefault="008470E0" w:rsidP="008470E0">
      <w:pPr>
        <w:jc w:val="both"/>
        <w:rPr>
          <w:rFonts w:cs="Arial"/>
          <w:bCs/>
        </w:rPr>
      </w:pPr>
    </w:p>
    <w:p w14:paraId="340957BD" w14:textId="77777777" w:rsidR="008470E0" w:rsidRPr="00EA0FE5" w:rsidRDefault="008470E0" w:rsidP="008470E0">
      <w:pPr>
        <w:pStyle w:val="ListParagraph"/>
        <w:numPr>
          <w:ilvl w:val="0"/>
          <w:numId w:val="6"/>
        </w:numPr>
        <w:ind w:left="567" w:hanging="567"/>
        <w:jc w:val="both"/>
        <w:rPr>
          <w:rFonts w:cs="Arial"/>
          <w:bCs/>
        </w:rPr>
      </w:pPr>
      <w:r>
        <w:rPr>
          <w:rFonts w:cs="Arial"/>
          <w:b/>
          <w:szCs w:val="24"/>
        </w:rPr>
        <w:t>Regeneration</w:t>
      </w:r>
    </w:p>
    <w:p w14:paraId="6577B9B6" w14:textId="77777777" w:rsidR="008470E0" w:rsidRPr="00EA0FE5" w:rsidRDefault="008470E0" w:rsidP="008470E0">
      <w:pPr>
        <w:pStyle w:val="ListParagraph"/>
        <w:ind w:left="567"/>
        <w:jc w:val="both"/>
        <w:rPr>
          <w:rFonts w:cs="Arial"/>
          <w:bCs/>
        </w:rPr>
      </w:pPr>
    </w:p>
    <w:p w14:paraId="3D1C62F8" w14:textId="77777777" w:rsidR="008470E0" w:rsidRPr="009333ED" w:rsidRDefault="008470E0" w:rsidP="008470E0">
      <w:pPr>
        <w:pStyle w:val="ListParagraph"/>
        <w:numPr>
          <w:ilvl w:val="0"/>
          <w:numId w:val="6"/>
        </w:numPr>
        <w:ind w:left="567" w:hanging="567"/>
        <w:jc w:val="both"/>
        <w:rPr>
          <w:rFonts w:cs="Arial"/>
          <w:bCs/>
        </w:rPr>
      </w:pPr>
      <w:r>
        <w:rPr>
          <w:rFonts w:cs="Arial"/>
          <w:bCs/>
          <w:szCs w:val="24"/>
        </w:rPr>
        <w:t xml:space="preserve">The Regeneration Programme revenue budget for 2021/22 is £1.250m and is forecast to spend within budget. </w:t>
      </w:r>
      <w:proofErr w:type="gramStart"/>
      <w:r>
        <w:rPr>
          <w:rFonts w:cs="Arial"/>
          <w:bCs/>
          <w:szCs w:val="24"/>
        </w:rPr>
        <w:t>The majority of</w:t>
      </w:r>
      <w:proofErr w:type="gramEnd"/>
      <w:r>
        <w:rPr>
          <w:rFonts w:cs="Arial"/>
          <w:bCs/>
          <w:szCs w:val="24"/>
        </w:rPr>
        <w:t xml:space="preserve"> the costs relate to staffing and additional consultancy advice however a portion of the spend is attributable to the financial impact of Covid-19.</w:t>
      </w:r>
    </w:p>
    <w:p w14:paraId="050D947F" w14:textId="77777777" w:rsidR="008470E0" w:rsidRDefault="008470E0" w:rsidP="008470E0">
      <w:pPr>
        <w:pStyle w:val="ListParagraph"/>
        <w:ind w:left="567"/>
        <w:jc w:val="both"/>
        <w:rPr>
          <w:rFonts w:cs="Arial"/>
          <w:bCs/>
        </w:rPr>
      </w:pPr>
    </w:p>
    <w:p w14:paraId="75067BCA" w14:textId="77777777" w:rsidR="008470E0" w:rsidRPr="00157B60" w:rsidRDefault="008470E0" w:rsidP="008470E0">
      <w:pPr>
        <w:pStyle w:val="ListParagraph"/>
        <w:ind w:left="1180" w:right="-1" w:hanging="613"/>
        <w:rPr>
          <w:rFonts w:cs="Arial"/>
          <w:b/>
        </w:rPr>
      </w:pPr>
      <w:r w:rsidRPr="00157B60">
        <w:rPr>
          <w:rFonts w:cs="Arial"/>
          <w:b/>
        </w:rPr>
        <w:t>PEOPLE SERVICES</w:t>
      </w:r>
    </w:p>
    <w:p w14:paraId="14C7E24E" w14:textId="77777777" w:rsidR="008470E0" w:rsidRPr="00157B60" w:rsidRDefault="008470E0" w:rsidP="008470E0">
      <w:pPr>
        <w:pStyle w:val="ListParagraph"/>
        <w:rPr>
          <w:rFonts w:cs="Arial"/>
          <w:bCs/>
          <w:szCs w:val="24"/>
        </w:rPr>
      </w:pPr>
    </w:p>
    <w:p w14:paraId="53418FCB" w14:textId="77777777" w:rsidR="008470E0" w:rsidRPr="00EA004C" w:rsidRDefault="008470E0" w:rsidP="008470E0">
      <w:pPr>
        <w:pStyle w:val="ListParagraph"/>
        <w:numPr>
          <w:ilvl w:val="0"/>
          <w:numId w:val="6"/>
        </w:numPr>
        <w:ind w:left="567" w:hanging="567"/>
        <w:jc w:val="both"/>
        <w:rPr>
          <w:rFonts w:cs="Arial"/>
          <w:bCs/>
        </w:rPr>
      </w:pPr>
      <w:r w:rsidRPr="00157B60">
        <w:rPr>
          <w:rFonts w:cs="Arial"/>
          <w:bCs/>
          <w:szCs w:val="24"/>
        </w:rPr>
        <w:t>The</w:t>
      </w:r>
      <w:r>
        <w:rPr>
          <w:rFonts w:cs="Arial"/>
          <w:bCs/>
          <w:szCs w:val="24"/>
        </w:rPr>
        <w:t xml:space="preserve"> forecast for People Services at Q1 is a net overspend of £2.956m after drawdowns from reserves and cross divisional adjustments.</w:t>
      </w:r>
    </w:p>
    <w:p w14:paraId="15364733" w14:textId="77777777" w:rsidR="008470E0" w:rsidRPr="00EA004C" w:rsidRDefault="008470E0" w:rsidP="008470E0">
      <w:pPr>
        <w:pStyle w:val="ListParagraph"/>
        <w:ind w:left="567"/>
        <w:jc w:val="both"/>
        <w:rPr>
          <w:rFonts w:cs="Arial"/>
          <w:bCs/>
        </w:rPr>
      </w:pPr>
    </w:p>
    <w:p w14:paraId="5E562AF2" w14:textId="77777777" w:rsidR="008470E0" w:rsidRPr="00EA004C" w:rsidRDefault="008470E0" w:rsidP="008470E0">
      <w:pPr>
        <w:pStyle w:val="ListParagraph"/>
        <w:numPr>
          <w:ilvl w:val="0"/>
          <w:numId w:val="6"/>
        </w:numPr>
        <w:ind w:left="567" w:hanging="567"/>
        <w:jc w:val="both"/>
        <w:rPr>
          <w:rFonts w:cs="Arial"/>
          <w:bCs/>
        </w:rPr>
      </w:pPr>
      <w:r w:rsidRPr="00EA004C">
        <w:rPr>
          <w:szCs w:val="24"/>
        </w:rPr>
        <w:t xml:space="preserve">The </w:t>
      </w:r>
      <w:r w:rsidRPr="00EA004C">
        <w:rPr>
          <w:rFonts w:cs="Arial"/>
          <w:bCs/>
        </w:rPr>
        <w:t xml:space="preserve">variations are explained in more detail </w:t>
      </w:r>
      <w:r>
        <w:rPr>
          <w:rFonts w:cs="Arial"/>
          <w:bCs/>
        </w:rPr>
        <w:t>in the following paragraphs.</w:t>
      </w:r>
    </w:p>
    <w:p w14:paraId="2ABA6154" w14:textId="77777777" w:rsidR="008470E0" w:rsidRDefault="008470E0" w:rsidP="008470E0">
      <w:pPr>
        <w:jc w:val="both"/>
        <w:rPr>
          <w:rFonts w:cs="Arial"/>
          <w:bCs/>
        </w:rPr>
      </w:pPr>
    </w:p>
    <w:p w14:paraId="4B349E12" w14:textId="77777777" w:rsidR="008470E0" w:rsidRPr="00157B60" w:rsidRDefault="008470E0" w:rsidP="008470E0">
      <w:pPr>
        <w:jc w:val="both"/>
        <w:rPr>
          <w:rFonts w:cs="Arial"/>
          <w:b/>
        </w:rPr>
      </w:pPr>
      <w:r w:rsidRPr="00157B60">
        <w:rPr>
          <w:rFonts w:cs="Arial"/>
          <w:b/>
        </w:rPr>
        <w:t>Adult Services</w:t>
      </w:r>
    </w:p>
    <w:p w14:paraId="3CA0E81D" w14:textId="77777777" w:rsidR="008470E0" w:rsidRPr="00157B60" w:rsidRDefault="008470E0" w:rsidP="008470E0">
      <w:pPr>
        <w:jc w:val="both"/>
        <w:rPr>
          <w:rFonts w:cs="Arial"/>
          <w:bCs/>
        </w:rPr>
      </w:pPr>
    </w:p>
    <w:p w14:paraId="03F576A2" w14:textId="77777777" w:rsidR="008470E0" w:rsidRPr="007052E5" w:rsidRDefault="008470E0" w:rsidP="008470E0">
      <w:pPr>
        <w:pStyle w:val="ListParagraph"/>
        <w:numPr>
          <w:ilvl w:val="0"/>
          <w:numId w:val="6"/>
        </w:numPr>
        <w:ind w:left="460" w:hanging="567"/>
        <w:jc w:val="both"/>
        <w:rPr>
          <w:rFonts w:cs="Arial"/>
          <w:szCs w:val="24"/>
        </w:rPr>
      </w:pPr>
      <w:r>
        <w:rPr>
          <w:rFonts w:cs="Arial"/>
        </w:rPr>
        <w:t xml:space="preserve">As at Q1 the forecast for Adult Services is an overspend of £1.091m. This will require a planned draw down from the Adult Social Care reserve to balance the </w:t>
      </w:r>
      <w:r w:rsidRPr="007052E5">
        <w:rPr>
          <w:rFonts w:cs="Arial"/>
          <w:szCs w:val="24"/>
        </w:rPr>
        <w:t xml:space="preserve">budget. The draw down is reflected within the corporate &amp; technical budgets. </w:t>
      </w:r>
      <w:bookmarkStart w:id="4" w:name="_Hlk48752687"/>
    </w:p>
    <w:p w14:paraId="7AD4CD03" w14:textId="77777777" w:rsidR="008470E0" w:rsidRPr="007052E5" w:rsidRDefault="008470E0" w:rsidP="008470E0">
      <w:pPr>
        <w:pStyle w:val="ListParagraph"/>
        <w:ind w:left="460"/>
        <w:jc w:val="both"/>
        <w:rPr>
          <w:rFonts w:cs="Arial"/>
          <w:szCs w:val="24"/>
        </w:rPr>
      </w:pPr>
    </w:p>
    <w:p w14:paraId="50C9D3B7" w14:textId="77777777" w:rsidR="008470E0" w:rsidRDefault="008470E0" w:rsidP="008470E0">
      <w:pPr>
        <w:pStyle w:val="ListParagraph"/>
        <w:numPr>
          <w:ilvl w:val="0"/>
          <w:numId w:val="6"/>
        </w:numPr>
        <w:ind w:left="460" w:hanging="567"/>
        <w:jc w:val="both"/>
        <w:rPr>
          <w:rFonts w:cs="Arial"/>
          <w:szCs w:val="24"/>
        </w:rPr>
      </w:pPr>
      <w:r w:rsidRPr="007052E5">
        <w:rPr>
          <w:rFonts w:cs="Arial"/>
          <w:szCs w:val="24"/>
        </w:rPr>
        <w:t>I</w:t>
      </w:r>
      <w:r>
        <w:rPr>
          <w:rFonts w:cs="Arial"/>
          <w:szCs w:val="24"/>
        </w:rPr>
        <w:t xml:space="preserve">t should be noted that at this point of the financial year it is challenging to forecast the position with certainty given that the services continue to be affected by Covid-19. </w:t>
      </w:r>
    </w:p>
    <w:p w14:paraId="69CBF569" w14:textId="77777777" w:rsidR="008470E0" w:rsidRPr="00E00378" w:rsidRDefault="008470E0" w:rsidP="008470E0">
      <w:pPr>
        <w:jc w:val="both"/>
        <w:rPr>
          <w:rFonts w:cs="Arial"/>
          <w:szCs w:val="24"/>
        </w:rPr>
      </w:pPr>
    </w:p>
    <w:p w14:paraId="5092A67E" w14:textId="77777777" w:rsidR="008470E0" w:rsidRDefault="008470E0" w:rsidP="008470E0">
      <w:pPr>
        <w:pStyle w:val="ListParagraph"/>
        <w:numPr>
          <w:ilvl w:val="0"/>
          <w:numId w:val="6"/>
        </w:numPr>
        <w:ind w:left="460" w:hanging="567"/>
        <w:jc w:val="both"/>
        <w:rPr>
          <w:rFonts w:cs="Arial"/>
          <w:szCs w:val="24"/>
        </w:rPr>
      </w:pPr>
      <w:r w:rsidRPr="007A5F5C">
        <w:rPr>
          <w:rFonts w:cs="Arial"/>
          <w:b/>
          <w:bCs/>
          <w:szCs w:val="24"/>
        </w:rPr>
        <w:t>Strategic Management</w:t>
      </w:r>
      <w:r>
        <w:rPr>
          <w:rFonts w:cs="Arial"/>
          <w:szCs w:val="24"/>
        </w:rPr>
        <w:t xml:space="preserve"> – balanced budget. A balance of £186k is being held on the Directors contingency to mitigate any unplanned pressures arising during the year which cannot be reduced or eliminated elsewhere across the directorate</w:t>
      </w:r>
    </w:p>
    <w:p w14:paraId="250A1873" w14:textId="77777777" w:rsidR="008470E0" w:rsidRDefault="008470E0" w:rsidP="008470E0">
      <w:pPr>
        <w:pStyle w:val="ListParagraph"/>
        <w:ind w:left="460"/>
        <w:jc w:val="both"/>
        <w:rPr>
          <w:rFonts w:cs="Arial"/>
          <w:szCs w:val="24"/>
        </w:rPr>
      </w:pPr>
    </w:p>
    <w:p w14:paraId="0F58C41B" w14:textId="77777777" w:rsidR="008470E0" w:rsidRDefault="008470E0" w:rsidP="008470E0">
      <w:pPr>
        <w:pStyle w:val="ListParagraph"/>
        <w:numPr>
          <w:ilvl w:val="0"/>
          <w:numId w:val="6"/>
        </w:numPr>
        <w:ind w:left="460" w:hanging="567"/>
        <w:jc w:val="both"/>
        <w:rPr>
          <w:rFonts w:cs="Arial"/>
          <w:szCs w:val="24"/>
        </w:rPr>
      </w:pPr>
      <w:r w:rsidRPr="007A5F5C">
        <w:rPr>
          <w:rFonts w:cs="Arial"/>
          <w:b/>
          <w:bCs/>
          <w:szCs w:val="24"/>
        </w:rPr>
        <w:t>Purchasing</w:t>
      </w:r>
      <w:r>
        <w:rPr>
          <w:rFonts w:cs="Arial"/>
          <w:szCs w:val="24"/>
        </w:rPr>
        <w:t xml:space="preserve"> – net overspend £1.255m. At Q1 the reported forecast for purchasing indicates planned activity above the allocated budget requiring a draw down from the Adult Social Care reserve. The position is complex and fluid and there are many variables which are uncertain at this stage which could potentially affect the forecast.</w:t>
      </w:r>
    </w:p>
    <w:p w14:paraId="5B67E87E" w14:textId="77777777" w:rsidR="008470E0" w:rsidRDefault="008470E0" w:rsidP="008470E0">
      <w:pPr>
        <w:pStyle w:val="ListParagraph"/>
        <w:ind w:left="460"/>
        <w:jc w:val="both"/>
        <w:rPr>
          <w:rFonts w:cs="Arial"/>
          <w:szCs w:val="24"/>
        </w:rPr>
      </w:pPr>
    </w:p>
    <w:p w14:paraId="3C4F1BD1" w14:textId="77777777" w:rsidR="008470E0" w:rsidRDefault="008470E0" w:rsidP="008470E0">
      <w:pPr>
        <w:pStyle w:val="ListParagraph"/>
        <w:numPr>
          <w:ilvl w:val="0"/>
          <w:numId w:val="6"/>
        </w:numPr>
        <w:ind w:left="460" w:hanging="567"/>
        <w:jc w:val="both"/>
        <w:rPr>
          <w:rFonts w:cs="Arial"/>
          <w:szCs w:val="24"/>
        </w:rPr>
      </w:pPr>
      <w:r>
        <w:rPr>
          <w:rFonts w:cs="Arial"/>
          <w:szCs w:val="24"/>
        </w:rPr>
        <w:t>Early information indicates an increase of 20% in community referrals and 50% (previously one third) of hospital discharges requiring long term support. The forecast assumes the following:</w:t>
      </w:r>
    </w:p>
    <w:p w14:paraId="41EAE5EF" w14:textId="77777777" w:rsidR="008470E0" w:rsidRDefault="008470E0" w:rsidP="008470E0">
      <w:pPr>
        <w:pStyle w:val="ListParagraph"/>
        <w:ind w:left="1701"/>
        <w:jc w:val="both"/>
        <w:rPr>
          <w:rFonts w:cs="Arial"/>
          <w:szCs w:val="24"/>
        </w:rPr>
      </w:pPr>
    </w:p>
    <w:p w14:paraId="6B83E6D3" w14:textId="77777777" w:rsidR="008470E0" w:rsidRDefault="008470E0" w:rsidP="008470E0">
      <w:pPr>
        <w:pStyle w:val="ListParagraph"/>
        <w:numPr>
          <w:ilvl w:val="1"/>
          <w:numId w:val="6"/>
        </w:numPr>
        <w:ind w:left="1701" w:hanging="567"/>
        <w:jc w:val="both"/>
        <w:rPr>
          <w:rFonts w:cs="Arial"/>
          <w:szCs w:val="24"/>
        </w:rPr>
      </w:pPr>
      <w:r>
        <w:rPr>
          <w:rFonts w:cs="Arial"/>
          <w:szCs w:val="24"/>
        </w:rPr>
        <w:t>The Discharge to Assess process will continue until the end of September 2021 and results in the costs of the first 6 weeks (reducing to 4 weeks from July) of care being funded by the NHS.</w:t>
      </w:r>
    </w:p>
    <w:p w14:paraId="3E3B2729" w14:textId="77777777" w:rsidR="008470E0" w:rsidRDefault="008470E0" w:rsidP="008470E0">
      <w:pPr>
        <w:pStyle w:val="ListParagraph"/>
        <w:ind w:left="1701"/>
        <w:jc w:val="both"/>
        <w:rPr>
          <w:rFonts w:cs="Arial"/>
          <w:szCs w:val="24"/>
        </w:rPr>
      </w:pPr>
    </w:p>
    <w:p w14:paraId="7E5A2921" w14:textId="77777777" w:rsidR="008470E0" w:rsidRDefault="008470E0" w:rsidP="008470E0">
      <w:pPr>
        <w:pStyle w:val="ListParagraph"/>
        <w:numPr>
          <w:ilvl w:val="1"/>
          <w:numId w:val="6"/>
        </w:numPr>
        <w:ind w:left="1701" w:hanging="567"/>
        <w:jc w:val="both"/>
        <w:rPr>
          <w:rFonts w:cs="Arial"/>
          <w:szCs w:val="24"/>
        </w:rPr>
      </w:pPr>
      <w:r>
        <w:rPr>
          <w:rFonts w:cs="Arial"/>
          <w:szCs w:val="24"/>
        </w:rPr>
        <w:t>15 new care packages per week (11 in the community and 4 in Nursing and Residential). Winter pressures have been assumed for 12 weeks starting from mid-November resulting in a further 2 Nursing Packages a week being required over this period.</w:t>
      </w:r>
    </w:p>
    <w:p w14:paraId="63E8E400" w14:textId="77777777" w:rsidR="008470E0" w:rsidRDefault="008470E0" w:rsidP="008470E0">
      <w:pPr>
        <w:pStyle w:val="ListParagraph"/>
        <w:ind w:left="1701"/>
        <w:jc w:val="both"/>
        <w:rPr>
          <w:rFonts w:cs="Arial"/>
          <w:szCs w:val="24"/>
        </w:rPr>
      </w:pPr>
    </w:p>
    <w:p w14:paraId="787FCE81" w14:textId="77777777" w:rsidR="008470E0" w:rsidRDefault="008470E0" w:rsidP="008470E0">
      <w:pPr>
        <w:pStyle w:val="ListParagraph"/>
        <w:numPr>
          <w:ilvl w:val="1"/>
          <w:numId w:val="6"/>
        </w:numPr>
        <w:ind w:left="1701" w:hanging="567"/>
        <w:jc w:val="both"/>
        <w:rPr>
          <w:rFonts w:cs="Arial"/>
          <w:szCs w:val="24"/>
        </w:rPr>
      </w:pPr>
      <w:proofErr w:type="gramStart"/>
      <w:r>
        <w:rPr>
          <w:rFonts w:cs="Arial"/>
          <w:szCs w:val="24"/>
        </w:rPr>
        <w:lastRenderedPageBreak/>
        <w:t>A number of</w:t>
      </w:r>
      <w:proofErr w:type="gramEnd"/>
      <w:r>
        <w:rPr>
          <w:rFonts w:cs="Arial"/>
          <w:szCs w:val="24"/>
        </w:rPr>
        <w:t xml:space="preserve"> CCG commissioned care packages from hospital discharges will transfer to the LA. This is currently estimated at £750k however social care reviews will determine any ongoing LA liability</w:t>
      </w:r>
    </w:p>
    <w:p w14:paraId="5A222A64" w14:textId="77777777" w:rsidR="008470E0" w:rsidRDefault="008470E0" w:rsidP="008470E0">
      <w:pPr>
        <w:pStyle w:val="ListParagraph"/>
        <w:ind w:left="1701"/>
        <w:jc w:val="both"/>
        <w:rPr>
          <w:rFonts w:cs="Arial"/>
          <w:szCs w:val="24"/>
        </w:rPr>
      </w:pPr>
    </w:p>
    <w:p w14:paraId="6BC11E29" w14:textId="77777777" w:rsidR="008470E0" w:rsidRDefault="008470E0" w:rsidP="008470E0">
      <w:pPr>
        <w:pStyle w:val="ListParagraph"/>
        <w:numPr>
          <w:ilvl w:val="1"/>
          <w:numId w:val="6"/>
        </w:numPr>
        <w:ind w:left="1701" w:hanging="567"/>
        <w:jc w:val="both"/>
        <w:rPr>
          <w:rFonts w:cs="Arial"/>
          <w:szCs w:val="24"/>
        </w:rPr>
      </w:pPr>
      <w:r>
        <w:rPr>
          <w:rFonts w:cs="Arial"/>
          <w:szCs w:val="24"/>
        </w:rPr>
        <w:t>325 deaths during the year</w:t>
      </w:r>
    </w:p>
    <w:p w14:paraId="6AAEF0F2" w14:textId="77777777" w:rsidR="008470E0" w:rsidRDefault="008470E0" w:rsidP="008470E0">
      <w:pPr>
        <w:pStyle w:val="ListParagraph"/>
        <w:ind w:left="1701"/>
        <w:jc w:val="both"/>
        <w:rPr>
          <w:rFonts w:cs="Arial"/>
          <w:szCs w:val="24"/>
        </w:rPr>
      </w:pPr>
    </w:p>
    <w:p w14:paraId="545E5D0A" w14:textId="77777777" w:rsidR="008470E0" w:rsidRPr="007052E5" w:rsidRDefault="008470E0" w:rsidP="008470E0">
      <w:pPr>
        <w:pStyle w:val="ListParagraph"/>
        <w:numPr>
          <w:ilvl w:val="1"/>
          <w:numId w:val="6"/>
        </w:numPr>
        <w:ind w:left="1701" w:hanging="567"/>
        <w:jc w:val="both"/>
        <w:rPr>
          <w:rFonts w:cs="Arial"/>
          <w:szCs w:val="24"/>
        </w:rPr>
      </w:pPr>
      <w:r>
        <w:rPr>
          <w:rFonts w:cs="Arial"/>
          <w:szCs w:val="24"/>
        </w:rPr>
        <w:t>That the £300k MTFS commissioning savings can be achieved and will be tracked in the recovery board and monitored monthly.</w:t>
      </w:r>
    </w:p>
    <w:p w14:paraId="43241C67" w14:textId="77777777" w:rsidR="008470E0" w:rsidRPr="00404AC0" w:rsidRDefault="008470E0" w:rsidP="008470E0">
      <w:pPr>
        <w:pStyle w:val="ListParagraph"/>
        <w:rPr>
          <w:rFonts w:cs="Arial"/>
          <w:sz w:val="20"/>
        </w:rPr>
      </w:pPr>
    </w:p>
    <w:p w14:paraId="5B62781A" w14:textId="77777777" w:rsidR="008470E0" w:rsidRDefault="008470E0" w:rsidP="008470E0">
      <w:pPr>
        <w:pStyle w:val="ListParagraph"/>
        <w:rPr>
          <w:rFonts w:cs="Arial"/>
          <w:sz w:val="20"/>
        </w:rPr>
      </w:pPr>
    </w:p>
    <w:p w14:paraId="6BA671BB" w14:textId="77777777" w:rsidR="008470E0" w:rsidRDefault="008470E0" w:rsidP="008470E0">
      <w:pPr>
        <w:pStyle w:val="ListParagraph"/>
        <w:numPr>
          <w:ilvl w:val="0"/>
          <w:numId w:val="6"/>
        </w:numPr>
        <w:ind w:left="460" w:hanging="567"/>
        <w:jc w:val="both"/>
        <w:rPr>
          <w:rFonts w:cs="Arial"/>
          <w:szCs w:val="24"/>
        </w:rPr>
      </w:pPr>
      <w:r w:rsidRPr="009925EE">
        <w:rPr>
          <w:rFonts w:cs="Arial"/>
          <w:b/>
          <w:bCs/>
          <w:szCs w:val="24"/>
        </w:rPr>
        <w:t>Mental Health</w:t>
      </w:r>
      <w:r>
        <w:rPr>
          <w:rFonts w:cs="Arial"/>
          <w:szCs w:val="24"/>
        </w:rPr>
        <w:t xml:space="preserve"> – balanced budget. This is pending the implementation of the S75 overspend recovery plan by CNWL to reduce expenditure. A robust review of the financial effects of the recovery plan is awaited and no savings arising from this are currently assumed.</w:t>
      </w:r>
    </w:p>
    <w:p w14:paraId="6B660F89" w14:textId="77777777" w:rsidR="008470E0" w:rsidRDefault="008470E0" w:rsidP="008470E0">
      <w:pPr>
        <w:pStyle w:val="ListParagraph"/>
        <w:ind w:left="460"/>
        <w:jc w:val="both"/>
        <w:rPr>
          <w:rFonts w:cs="Arial"/>
          <w:szCs w:val="24"/>
        </w:rPr>
      </w:pPr>
    </w:p>
    <w:p w14:paraId="456EFDAB" w14:textId="77777777" w:rsidR="008470E0" w:rsidRDefault="008470E0" w:rsidP="008470E0">
      <w:pPr>
        <w:pStyle w:val="ListParagraph"/>
        <w:numPr>
          <w:ilvl w:val="0"/>
          <w:numId w:val="6"/>
        </w:numPr>
        <w:ind w:left="460" w:hanging="567"/>
        <w:jc w:val="both"/>
        <w:rPr>
          <w:rFonts w:cs="Arial"/>
          <w:szCs w:val="24"/>
        </w:rPr>
      </w:pPr>
      <w:r w:rsidRPr="009925EE">
        <w:rPr>
          <w:rFonts w:cs="Arial"/>
          <w:b/>
          <w:bCs/>
          <w:szCs w:val="24"/>
        </w:rPr>
        <w:t>Other Adults</w:t>
      </w:r>
      <w:r>
        <w:rPr>
          <w:rFonts w:cs="Arial"/>
          <w:szCs w:val="24"/>
        </w:rPr>
        <w:t xml:space="preserve"> – net underspend £75k. This reflects a lower level of equipment allocated to citizens of £218k offset by increasing staffing costs of £127k and a variation on contracts of £16k.</w:t>
      </w:r>
    </w:p>
    <w:p w14:paraId="4E066F8C" w14:textId="77777777" w:rsidR="008470E0" w:rsidRDefault="008470E0" w:rsidP="008470E0">
      <w:pPr>
        <w:pStyle w:val="ListParagraph"/>
        <w:ind w:left="460"/>
        <w:jc w:val="both"/>
        <w:rPr>
          <w:rFonts w:cs="Arial"/>
          <w:szCs w:val="24"/>
        </w:rPr>
      </w:pPr>
    </w:p>
    <w:p w14:paraId="67F2334F" w14:textId="77777777" w:rsidR="008470E0" w:rsidRDefault="008470E0" w:rsidP="008470E0">
      <w:pPr>
        <w:pStyle w:val="ListParagraph"/>
        <w:numPr>
          <w:ilvl w:val="0"/>
          <w:numId w:val="6"/>
        </w:numPr>
        <w:ind w:left="460" w:hanging="567"/>
        <w:jc w:val="both"/>
        <w:rPr>
          <w:rFonts w:cs="Arial"/>
          <w:szCs w:val="24"/>
        </w:rPr>
      </w:pPr>
      <w:r w:rsidRPr="009925EE">
        <w:rPr>
          <w:rFonts w:cs="Arial"/>
          <w:b/>
          <w:bCs/>
          <w:szCs w:val="24"/>
        </w:rPr>
        <w:t>In-House Services</w:t>
      </w:r>
      <w:r>
        <w:rPr>
          <w:rFonts w:cs="Arial"/>
          <w:szCs w:val="24"/>
        </w:rPr>
        <w:t xml:space="preserve"> – net underspend £89k. This is due to the phased opening of day care largely in relation to the budgeted costs of agency staff which enables the loss of income at </w:t>
      </w:r>
      <w:proofErr w:type="spellStart"/>
      <w:r>
        <w:rPr>
          <w:rFonts w:cs="Arial"/>
          <w:szCs w:val="24"/>
        </w:rPr>
        <w:t>Wiseworks</w:t>
      </w:r>
      <w:proofErr w:type="spellEnd"/>
      <w:r>
        <w:rPr>
          <w:rFonts w:cs="Arial"/>
          <w:szCs w:val="24"/>
        </w:rPr>
        <w:t xml:space="preserve"> to be mitigated.</w:t>
      </w:r>
    </w:p>
    <w:p w14:paraId="51A75BA7" w14:textId="77777777" w:rsidR="008470E0" w:rsidRPr="00247FED" w:rsidRDefault="008470E0" w:rsidP="008470E0">
      <w:pPr>
        <w:pStyle w:val="ListParagraph"/>
        <w:rPr>
          <w:rFonts w:cs="Arial"/>
          <w:b/>
          <w:bCs/>
          <w:sz w:val="20"/>
          <w:u w:val="single"/>
        </w:rPr>
      </w:pPr>
    </w:p>
    <w:p w14:paraId="1C73FC79" w14:textId="77777777" w:rsidR="008470E0" w:rsidRDefault="008470E0" w:rsidP="008470E0">
      <w:pPr>
        <w:rPr>
          <w:rFonts w:cs="Arial"/>
          <w:b/>
          <w:bCs/>
        </w:rPr>
      </w:pPr>
      <w:r w:rsidRPr="002656C8">
        <w:rPr>
          <w:rFonts w:cs="Arial"/>
          <w:b/>
          <w:bCs/>
        </w:rPr>
        <w:t>Public Health</w:t>
      </w:r>
    </w:p>
    <w:p w14:paraId="28A96987" w14:textId="77777777" w:rsidR="008470E0" w:rsidRDefault="008470E0" w:rsidP="008470E0">
      <w:pPr>
        <w:rPr>
          <w:rFonts w:cs="Arial"/>
          <w:b/>
          <w:bCs/>
        </w:rPr>
      </w:pPr>
    </w:p>
    <w:p w14:paraId="06422308" w14:textId="77777777" w:rsidR="008470E0" w:rsidRPr="000567B6" w:rsidRDefault="008470E0" w:rsidP="008470E0">
      <w:pPr>
        <w:pStyle w:val="ListParagraph"/>
        <w:numPr>
          <w:ilvl w:val="0"/>
          <w:numId w:val="6"/>
        </w:numPr>
        <w:ind w:left="460" w:hanging="567"/>
        <w:jc w:val="both"/>
        <w:rPr>
          <w:rFonts w:cs="Arial"/>
          <w:b/>
        </w:rPr>
      </w:pPr>
      <w:r>
        <w:rPr>
          <w:rFonts w:eastAsia="Calibri" w:cs="Arial"/>
        </w:rPr>
        <w:t xml:space="preserve">As at Q1 Public </w:t>
      </w:r>
      <w:r w:rsidRPr="00EA30B3">
        <w:rPr>
          <w:rFonts w:cs="Arial"/>
        </w:rPr>
        <w:t xml:space="preserve">Health </w:t>
      </w:r>
      <w:r>
        <w:rPr>
          <w:rFonts w:cs="Arial"/>
        </w:rPr>
        <w:t xml:space="preserve">(PH) </w:t>
      </w:r>
      <w:r w:rsidRPr="00EA30B3">
        <w:rPr>
          <w:rFonts w:cs="Arial"/>
        </w:rPr>
        <w:t xml:space="preserve">is reporting </w:t>
      </w:r>
      <w:r>
        <w:rPr>
          <w:rFonts w:cs="Arial"/>
        </w:rPr>
        <w:t>an overspend of £322k which will be managed through a draw down from the PH reserve. The overspend relates to wider health projects. There are ongoing projects which are being funded through reserves including the Dementia Hub, ADHD &amp; Autism, Ridgeway Project and PNA assessment which is cyclical and has been delayed from 2020/21.</w:t>
      </w:r>
    </w:p>
    <w:p w14:paraId="3246AC38" w14:textId="77777777" w:rsidR="008470E0" w:rsidRDefault="008470E0" w:rsidP="008470E0">
      <w:pPr>
        <w:jc w:val="both"/>
        <w:rPr>
          <w:rFonts w:cs="Arial"/>
          <w:b/>
        </w:rPr>
      </w:pPr>
    </w:p>
    <w:p w14:paraId="5C49B0AA" w14:textId="77777777" w:rsidR="008470E0" w:rsidRPr="000567B6" w:rsidRDefault="008470E0" w:rsidP="008470E0">
      <w:pPr>
        <w:jc w:val="both"/>
        <w:rPr>
          <w:rFonts w:cs="Arial"/>
          <w:b/>
        </w:rPr>
      </w:pPr>
      <w:r w:rsidRPr="000567B6">
        <w:rPr>
          <w:rFonts w:cs="Arial"/>
          <w:b/>
        </w:rPr>
        <w:t>Children’s Services</w:t>
      </w:r>
    </w:p>
    <w:p w14:paraId="120B5F2C" w14:textId="77777777" w:rsidR="008470E0" w:rsidRPr="00EA30B3" w:rsidRDefault="008470E0" w:rsidP="008470E0">
      <w:pPr>
        <w:pStyle w:val="ListParagraph"/>
        <w:rPr>
          <w:rFonts w:eastAsia="Calibri" w:cs="Arial"/>
        </w:rPr>
      </w:pPr>
    </w:p>
    <w:bookmarkEnd w:id="4"/>
    <w:p w14:paraId="594EE6A9" w14:textId="77777777" w:rsidR="008470E0" w:rsidRPr="0014350A" w:rsidRDefault="008470E0" w:rsidP="008470E0">
      <w:pPr>
        <w:pStyle w:val="ListParagraph"/>
        <w:numPr>
          <w:ilvl w:val="0"/>
          <w:numId w:val="6"/>
        </w:numPr>
        <w:ind w:left="460" w:hanging="567"/>
        <w:jc w:val="both"/>
        <w:rPr>
          <w:rFonts w:cs="Arial"/>
          <w:b/>
          <w:bCs/>
        </w:rPr>
      </w:pPr>
      <w:r>
        <w:rPr>
          <w:rFonts w:eastAsia="Calibri" w:cs="Arial"/>
        </w:rPr>
        <w:t xml:space="preserve">As at Q1 Children’s Services is reporting a net overspend of £1.865m after </w:t>
      </w:r>
      <w:proofErr w:type="gramStart"/>
      <w:r>
        <w:rPr>
          <w:rFonts w:eastAsia="Calibri" w:cs="Arial"/>
        </w:rPr>
        <w:t>draw</w:t>
      </w:r>
      <w:proofErr w:type="gramEnd"/>
      <w:r>
        <w:rPr>
          <w:rFonts w:eastAsia="Calibri" w:cs="Arial"/>
        </w:rPr>
        <w:t xml:space="preserve"> down from reserves. </w:t>
      </w:r>
    </w:p>
    <w:p w14:paraId="42F3CCC4" w14:textId="77777777" w:rsidR="008470E0" w:rsidRPr="0014350A" w:rsidRDefault="008470E0" w:rsidP="008470E0">
      <w:pPr>
        <w:pStyle w:val="ListParagraph"/>
        <w:ind w:left="460"/>
        <w:jc w:val="both"/>
        <w:rPr>
          <w:rFonts w:cs="Arial"/>
          <w:b/>
          <w:bCs/>
        </w:rPr>
      </w:pPr>
    </w:p>
    <w:p w14:paraId="1E036035" w14:textId="77777777" w:rsidR="008470E0" w:rsidRPr="0014350A" w:rsidRDefault="008470E0" w:rsidP="008470E0">
      <w:pPr>
        <w:pStyle w:val="ListParagraph"/>
        <w:numPr>
          <w:ilvl w:val="0"/>
          <w:numId w:val="6"/>
        </w:numPr>
        <w:ind w:left="460" w:hanging="567"/>
        <w:jc w:val="both"/>
        <w:rPr>
          <w:rFonts w:cs="Arial"/>
          <w:b/>
          <w:bCs/>
        </w:rPr>
      </w:pPr>
      <w:r>
        <w:rPr>
          <w:rFonts w:eastAsia="Calibri" w:cs="Arial"/>
        </w:rPr>
        <w:t>The headline pressure across the directorate is £5.020m with mitigating managements actions of £627k and £2.528m draw down from reserves. It should be noted that these management actions are one off and will not be available in future years.</w:t>
      </w:r>
    </w:p>
    <w:p w14:paraId="028EA567" w14:textId="77777777" w:rsidR="008470E0" w:rsidRPr="0014350A" w:rsidRDefault="008470E0" w:rsidP="008470E0">
      <w:pPr>
        <w:pStyle w:val="ListParagraph"/>
        <w:ind w:left="460"/>
        <w:jc w:val="both"/>
        <w:rPr>
          <w:rFonts w:cs="Arial"/>
          <w:b/>
          <w:bCs/>
        </w:rPr>
      </w:pPr>
    </w:p>
    <w:p w14:paraId="356C1338" w14:textId="77777777" w:rsidR="008470E0" w:rsidRPr="00F00CD9" w:rsidRDefault="008470E0" w:rsidP="008470E0">
      <w:pPr>
        <w:pStyle w:val="ListParagraph"/>
        <w:numPr>
          <w:ilvl w:val="0"/>
          <w:numId w:val="6"/>
        </w:numPr>
        <w:ind w:left="460" w:hanging="567"/>
        <w:jc w:val="both"/>
        <w:rPr>
          <w:rFonts w:cs="Arial"/>
          <w:b/>
          <w:bCs/>
        </w:rPr>
      </w:pPr>
      <w:r>
        <w:rPr>
          <w:rFonts w:eastAsia="Calibri" w:cs="Arial"/>
        </w:rPr>
        <w:t>The 2021/22 budget has increased by £1.226m through the MTFS to support anticipated growth in placements &amp; accommodation and frontline staffing which is partially offset by a reversal of savings of £410k no longer achievable taking the net growth to £816k. There was also growth of £777k for SEN Transport to manage increased demand and costs.</w:t>
      </w:r>
    </w:p>
    <w:p w14:paraId="0E2A2B08" w14:textId="77777777" w:rsidR="008470E0" w:rsidRPr="00F00CD9" w:rsidRDefault="008470E0" w:rsidP="008470E0">
      <w:pPr>
        <w:pStyle w:val="ListParagraph"/>
        <w:rPr>
          <w:rFonts w:cs="Arial"/>
          <w:b/>
        </w:rPr>
      </w:pPr>
    </w:p>
    <w:p w14:paraId="02C19AAA" w14:textId="77777777" w:rsidR="008470E0" w:rsidRPr="00F00CD9" w:rsidRDefault="008470E0" w:rsidP="008470E0">
      <w:pPr>
        <w:pStyle w:val="ListParagraph"/>
        <w:numPr>
          <w:ilvl w:val="0"/>
          <w:numId w:val="6"/>
        </w:numPr>
        <w:ind w:left="460" w:hanging="567"/>
        <w:jc w:val="both"/>
        <w:rPr>
          <w:rFonts w:cs="Arial"/>
          <w:b/>
          <w:bCs/>
        </w:rPr>
      </w:pPr>
      <w:r w:rsidRPr="00F00CD9">
        <w:rPr>
          <w:rFonts w:cs="Arial"/>
          <w:b/>
        </w:rPr>
        <w:t>Frontline Teams Staffing &amp; Other Cost</w:t>
      </w:r>
      <w:r>
        <w:rPr>
          <w:rFonts w:cs="Arial"/>
          <w:b/>
        </w:rPr>
        <w:t xml:space="preserve">s </w:t>
      </w:r>
      <w:r w:rsidRPr="00F00CD9">
        <w:rPr>
          <w:rFonts w:cs="Arial"/>
          <w:bCs/>
        </w:rPr>
        <w:t>– net overspend £1.274m.</w:t>
      </w:r>
      <w:r>
        <w:rPr>
          <w:rFonts w:cs="Arial"/>
          <w:b/>
        </w:rPr>
        <w:t xml:space="preserve"> </w:t>
      </w:r>
      <w:r>
        <w:rPr>
          <w:rFonts w:cs="Arial"/>
          <w:bCs/>
        </w:rPr>
        <w:t>In order to m</w:t>
      </w:r>
      <w:r w:rsidRPr="00F00CD9">
        <w:rPr>
          <w:rFonts w:cs="Arial"/>
        </w:rPr>
        <w:t xml:space="preserve">anage caseloads agency staff are required to cover vacant social </w:t>
      </w:r>
      <w:r w:rsidRPr="00F00CD9">
        <w:rPr>
          <w:rFonts w:cs="Arial"/>
        </w:rPr>
        <w:lastRenderedPageBreak/>
        <w:t xml:space="preserve">work posts, including sickness and maternity cover. There are around 20% of frontline posts which are covered by agency as well as increased ‘As and when’ workers to provide statutory supervised contact sessions. It has been necessary to recruit agency super numerate social workers </w:t>
      </w:r>
      <w:r>
        <w:rPr>
          <w:rFonts w:cs="Arial"/>
        </w:rPr>
        <w:t>in frontline teams</w:t>
      </w:r>
      <w:r w:rsidRPr="00F00CD9">
        <w:rPr>
          <w:rFonts w:cs="Arial"/>
        </w:rPr>
        <w:t xml:space="preserve"> to help manage increasing referrals and caseloads. </w:t>
      </w:r>
    </w:p>
    <w:p w14:paraId="58572D8B" w14:textId="77777777" w:rsidR="008470E0" w:rsidRPr="00F00CD9" w:rsidRDefault="008470E0" w:rsidP="008470E0">
      <w:pPr>
        <w:pStyle w:val="ListParagraph"/>
        <w:rPr>
          <w:rFonts w:cs="Arial"/>
          <w:b/>
        </w:rPr>
      </w:pPr>
    </w:p>
    <w:p w14:paraId="237B19C6" w14:textId="77777777" w:rsidR="008470E0" w:rsidRDefault="008470E0" w:rsidP="008470E0">
      <w:pPr>
        <w:pStyle w:val="ListParagraph"/>
        <w:numPr>
          <w:ilvl w:val="0"/>
          <w:numId w:val="6"/>
        </w:numPr>
        <w:ind w:left="460" w:hanging="567"/>
        <w:jc w:val="both"/>
        <w:rPr>
          <w:rFonts w:cs="Arial"/>
          <w:bCs/>
        </w:rPr>
      </w:pPr>
      <w:r w:rsidRPr="00F00CD9">
        <w:rPr>
          <w:rFonts w:cs="Arial"/>
          <w:b/>
        </w:rPr>
        <w:t>Children’s Placements &amp; Accommodation</w:t>
      </w:r>
      <w:r>
        <w:rPr>
          <w:rFonts w:cs="Arial"/>
          <w:bCs/>
        </w:rPr>
        <w:t xml:space="preserve"> – net </w:t>
      </w:r>
      <w:r w:rsidRPr="00F00CD9">
        <w:rPr>
          <w:rFonts w:cs="Arial"/>
          <w:bCs/>
        </w:rPr>
        <w:t>overspend £2.647m</w:t>
      </w:r>
    </w:p>
    <w:p w14:paraId="4498771A" w14:textId="77777777" w:rsidR="008470E0" w:rsidRPr="00F00CD9" w:rsidRDefault="008470E0" w:rsidP="008470E0">
      <w:pPr>
        <w:pStyle w:val="ListParagraph"/>
        <w:rPr>
          <w:rFonts w:cs="Arial"/>
        </w:rPr>
      </w:pPr>
    </w:p>
    <w:p w14:paraId="281E06CD"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In 2020</w:t>
      </w:r>
      <w:r>
        <w:rPr>
          <w:rFonts w:cs="Arial"/>
        </w:rPr>
        <w:t>/</w:t>
      </w:r>
      <w:r w:rsidRPr="00F00CD9">
        <w:rPr>
          <w:rFonts w:cs="Arial"/>
        </w:rPr>
        <w:t xml:space="preserve">21 spend in these areas significantly increased compared with average spend in the previous two years. Largely this was attributed to </w:t>
      </w:r>
      <w:r>
        <w:rPr>
          <w:rFonts w:cs="Arial"/>
        </w:rPr>
        <w:t>Covid-19</w:t>
      </w:r>
      <w:r w:rsidRPr="00F00CD9">
        <w:rPr>
          <w:rFonts w:cs="Arial"/>
        </w:rPr>
        <w:t xml:space="preserve"> however it is difficult to accurately work out exactly which costs are </w:t>
      </w:r>
      <w:r>
        <w:rPr>
          <w:rFonts w:cs="Arial"/>
        </w:rPr>
        <w:t>Covid-19</w:t>
      </w:r>
      <w:r w:rsidRPr="00F00CD9">
        <w:rPr>
          <w:rFonts w:cs="Arial"/>
        </w:rPr>
        <w:t xml:space="preserve"> related and which are due to other demographic changes. Throughout 2020-21 the number of Children Looked After peaked at 207 in August 2020 compared to previous averages of around 170. </w:t>
      </w:r>
    </w:p>
    <w:p w14:paraId="22F79E99" w14:textId="77777777" w:rsidR="008470E0" w:rsidRPr="00F00CD9" w:rsidRDefault="008470E0" w:rsidP="008470E0">
      <w:pPr>
        <w:pStyle w:val="ListParagraph"/>
        <w:rPr>
          <w:rFonts w:cs="Arial"/>
        </w:rPr>
      </w:pPr>
    </w:p>
    <w:p w14:paraId="108C08EF"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The current number of CLA is back down to around 170 however the number of young people currently accommodated have significant and complex needs which in some cases require expensive residential provision.</w:t>
      </w:r>
    </w:p>
    <w:p w14:paraId="673F78E3" w14:textId="77777777" w:rsidR="008470E0" w:rsidRPr="00F00CD9" w:rsidRDefault="008470E0" w:rsidP="008470E0">
      <w:pPr>
        <w:pStyle w:val="ListParagraph"/>
        <w:rPr>
          <w:rFonts w:cs="Arial"/>
        </w:rPr>
      </w:pPr>
    </w:p>
    <w:p w14:paraId="090D81EC"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 xml:space="preserve">There are regular resource tracking and monitoring panels to ensure the level of accommodation and cost continues to be appropriate for the young person’s needs. This is supported by the Keeping Families Together service which aims to prevent young people coming into care or working on step down plans where safe to do so. In addition, there are targeted actions to reduce the average cost of service provision through negotiation with providers including block contract services for Asylum </w:t>
      </w:r>
      <w:proofErr w:type="gramStart"/>
      <w:r w:rsidRPr="00F00CD9">
        <w:rPr>
          <w:rFonts w:cs="Arial"/>
        </w:rPr>
        <w:t>and also</w:t>
      </w:r>
      <w:proofErr w:type="gramEnd"/>
      <w:r w:rsidRPr="00F00CD9">
        <w:rPr>
          <w:rFonts w:cs="Arial"/>
        </w:rPr>
        <w:t xml:space="preserve"> Leaving Care.</w:t>
      </w:r>
    </w:p>
    <w:p w14:paraId="663DEBF6" w14:textId="77777777" w:rsidR="008470E0" w:rsidRPr="00F00CD9" w:rsidRDefault="008470E0" w:rsidP="008470E0">
      <w:pPr>
        <w:pStyle w:val="ListParagraph"/>
        <w:rPr>
          <w:rFonts w:cs="Arial"/>
        </w:rPr>
      </w:pPr>
    </w:p>
    <w:p w14:paraId="7092232B" w14:textId="77777777" w:rsidR="008470E0" w:rsidRPr="00F00CD9" w:rsidRDefault="008470E0" w:rsidP="008470E0">
      <w:pPr>
        <w:pStyle w:val="ListParagraph"/>
        <w:numPr>
          <w:ilvl w:val="0"/>
          <w:numId w:val="6"/>
        </w:numPr>
        <w:ind w:left="460" w:hanging="567"/>
        <w:jc w:val="both"/>
        <w:rPr>
          <w:rFonts w:cs="Arial"/>
          <w:bCs/>
        </w:rPr>
      </w:pPr>
      <w:r w:rsidRPr="00F00CD9">
        <w:rPr>
          <w:rFonts w:cs="Arial"/>
        </w:rPr>
        <w:t>There are also issues regarding placement sufficiency as foster carers and other providers were reluctant to take new young people during COVID resulting in higher cost placements than necessarily required or young people staying longer in existing placements where they could have been stepped down. In addition, despite a successful in-house fostering recruitment campaign young people are still being placed out of borough for reasons of contextual safeguarding and not just placement sufficiency</w:t>
      </w:r>
    </w:p>
    <w:p w14:paraId="315C0A8E" w14:textId="77777777" w:rsidR="008470E0" w:rsidRPr="00F00CD9" w:rsidRDefault="008470E0" w:rsidP="008470E0">
      <w:pPr>
        <w:pStyle w:val="ListParagraph"/>
        <w:rPr>
          <w:rFonts w:cs="Arial"/>
          <w:b/>
        </w:rPr>
      </w:pPr>
    </w:p>
    <w:p w14:paraId="330DACA6" w14:textId="58FAB8C4" w:rsidR="008470E0" w:rsidRPr="00F00CD9" w:rsidRDefault="008470E0" w:rsidP="008470E0">
      <w:pPr>
        <w:pStyle w:val="ListParagraph"/>
        <w:numPr>
          <w:ilvl w:val="0"/>
          <w:numId w:val="6"/>
        </w:numPr>
        <w:ind w:left="460" w:hanging="567"/>
        <w:jc w:val="both"/>
        <w:rPr>
          <w:rFonts w:cs="Arial"/>
          <w:bCs/>
        </w:rPr>
      </w:pPr>
      <w:r w:rsidRPr="00F00CD9">
        <w:rPr>
          <w:rFonts w:cs="Arial"/>
          <w:b/>
        </w:rPr>
        <w:t>Signers &amp; interpreters and Legal costs</w:t>
      </w:r>
      <w:r>
        <w:rPr>
          <w:rFonts w:cs="Arial"/>
          <w:bCs/>
        </w:rPr>
        <w:t xml:space="preserve"> – net </w:t>
      </w:r>
      <w:r w:rsidRPr="00F00CD9">
        <w:rPr>
          <w:rFonts w:cs="Arial"/>
          <w:bCs/>
        </w:rPr>
        <w:t>overspend £117k</w:t>
      </w:r>
      <w:r>
        <w:rPr>
          <w:rFonts w:cs="Arial"/>
          <w:bCs/>
        </w:rPr>
        <w:t xml:space="preserve">. </w:t>
      </w:r>
      <w:r w:rsidRPr="00F00CD9">
        <w:rPr>
          <w:rFonts w:cs="Arial"/>
        </w:rPr>
        <w:t>There are pressures mainly in relation to translation services, such as whole document translation of parenting assessments for individuals whose first language is not English as well as Legal disbursement costs including barrister and independent experts’ fees in relation to care proceedings.</w:t>
      </w:r>
    </w:p>
    <w:p w14:paraId="2EA52596" w14:textId="77777777" w:rsidR="008470E0" w:rsidRPr="00F00CD9" w:rsidRDefault="008470E0" w:rsidP="008470E0">
      <w:pPr>
        <w:pStyle w:val="ListParagraph"/>
        <w:rPr>
          <w:rFonts w:cs="Arial"/>
          <w:b/>
        </w:rPr>
      </w:pPr>
    </w:p>
    <w:p w14:paraId="109FB7B3" w14:textId="77777777" w:rsidR="008470E0" w:rsidRPr="00F00CD9" w:rsidRDefault="008470E0" w:rsidP="008470E0">
      <w:pPr>
        <w:pStyle w:val="ListParagraph"/>
        <w:numPr>
          <w:ilvl w:val="0"/>
          <w:numId w:val="6"/>
        </w:numPr>
        <w:ind w:left="460" w:hanging="567"/>
        <w:jc w:val="both"/>
        <w:rPr>
          <w:rFonts w:cs="Arial"/>
          <w:bCs/>
        </w:rPr>
      </w:pPr>
      <w:r w:rsidRPr="00F00CD9">
        <w:rPr>
          <w:rFonts w:cs="Arial"/>
          <w:b/>
        </w:rPr>
        <w:t>Client Spend Section 17</w:t>
      </w:r>
      <w:r w:rsidRPr="00F00CD9">
        <w:rPr>
          <w:rFonts w:cs="Arial"/>
          <w:bCs/>
        </w:rPr>
        <w:t xml:space="preserve"> – net overspend £47k. </w:t>
      </w:r>
      <w:r w:rsidRPr="00F00CD9">
        <w:rPr>
          <w:rFonts w:cs="Arial"/>
        </w:rPr>
        <w:t>There are pressures in relation to support to families with children subject to a Child Protection or Children in Need plan, to help children remain at home where it is safe to do so. This budget remains at risk due to increasing numbers of Children in Need.</w:t>
      </w:r>
    </w:p>
    <w:p w14:paraId="5A56F716" w14:textId="77777777" w:rsidR="008470E0" w:rsidRPr="00F00CD9" w:rsidRDefault="008470E0" w:rsidP="008470E0">
      <w:pPr>
        <w:pStyle w:val="ListParagraph"/>
        <w:rPr>
          <w:rFonts w:cs="Arial"/>
          <w:b/>
        </w:rPr>
      </w:pPr>
    </w:p>
    <w:p w14:paraId="5551F583" w14:textId="77777777" w:rsidR="008470E0" w:rsidRDefault="008470E0" w:rsidP="008470E0">
      <w:pPr>
        <w:pStyle w:val="ListParagraph"/>
        <w:numPr>
          <w:ilvl w:val="0"/>
          <w:numId w:val="6"/>
        </w:numPr>
        <w:suppressAutoHyphens/>
        <w:ind w:left="460" w:hanging="567"/>
        <w:jc w:val="both"/>
        <w:rPr>
          <w:rFonts w:cs="Arial"/>
        </w:rPr>
      </w:pPr>
      <w:r w:rsidRPr="00F00CD9">
        <w:rPr>
          <w:rFonts w:cs="Arial"/>
          <w:b/>
        </w:rPr>
        <w:t>Other Children and Young People Services</w:t>
      </w:r>
      <w:r w:rsidRPr="00F00CD9">
        <w:rPr>
          <w:rFonts w:cs="Arial"/>
          <w:bCs/>
        </w:rPr>
        <w:t xml:space="preserve"> – net overspend £82k. This is due to pressures </w:t>
      </w:r>
      <w:r w:rsidRPr="00F00CD9">
        <w:rPr>
          <w:rFonts w:cs="Arial"/>
        </w:rPr>
        <w:t>on other non-staffing budgets including commissioned services.</w:t>
      </w:r>
    </w:p>
    <w:p w14:paraId="4444795B" w14:textId="77777777" w:rsidR="008470E0" w:rsidRPr="00F00CD9" w:rsidRDefault="008470E0" w:rsidP="008470E0">
      <w:pPr>
        <w:pStyle w:val="ListParagraph"/>
        <w:rPr>
          <w:rFonts w:cs="Arial"/>
          <w:b/>
        </w:rPr>
      </w:pPr>
    </w:p>
    <w:p w14:paraId="11F07EF0" w14:textId="77777777" w:rsidR="008470E0" w:rsidRDefault="008470E0" w:rsidP="008470E0">
      <w:pPr>
        <w:pStyle w:val="ListParagraph"/>
        <w:numPr>
          <w:ilvl w:val="0"/>
          <w:numId w:val="6"/>
        </w:numPr>
        <w:suppressAutoHyphens/>
        <w:ind w:left="460" w:hanging="567"/>
        <w:jc w:val="both"/>
        <w:rPr>
          <w:rFonts w:cs="Arial"/>
        </w:rPr>
      </w:pPr>
      <w:r w:rsidRPr="00F00CD9">
        <w:rPr>
          <w:rFonts w:cs="Arial"/>
          <w:b/>
        </w:rPr>
        <w:t>SEN Transport</w:t>
      </w:r>
      <w:r w:rsidRPr="00F00CD9">
        <w:rPr>
          <w:rFonts w:cs="Arial"/>
          <w:bCs/>
        </w:rPr>
        <w:t xml:space="preserve"> – net overspend £272k. </w:t>
      </w:r>
      <w:r w:rsidRPr="00F00CD9">
        <w:rPr>
          <w:rFonts w:cs="Arial"/>
        </w:rPr>
        <w:t xml:space="preserve">SEN Transport provides home to school and home to further education settings for children and young people in education with Education Health and Care Plans (EHCPs). There are significant pressures due to increase in demand for transport, increased complexity of children’s needs and pressures in the market in relation recruitment of qualified drivers. These issue lead to requirement for more single passenger journeys and the increased use of taxis and other hired transport. </w:t>
      </w:r>
    </w:p>
    <w:p w14:paraId="52427FB9" w14:textId="77777777" w:rsidR="008470E0" w:rsidRPr="00F00CD9" w:rsidRDefault="008470E0" w:rsidP="008470E0">
      <w:pPr>
        <w:pStyle w:val="ListParagraph"/>
        <w:rPr>
          <w:rFonts w:cs="Arial"/>
          <w:b/>
        </w:rPr>
      </w:pPr>
    </w:p>
    <w:p w14:paraId="5C2AC16F" w14:textId="77777777" w:rsidR="008470E0" w:rsidRDefault="008470E0" w:rsidP="008470E0">
      <w:pPr>
        <w:pStyle w:val="ListParagraph"/>
        <w:numPr>
          <w:ilvl w:val="0"/>
          <w:numId w:val="6"/>
        </w:numPr>
        <w:suppressAutoHyphens/>
        <w:ind w:left="460" w:hanging="567"/>
        <w:jc w:val="both"/>
        <w:rPr>
          <w:rFonts w:cs="Arial"/>
        </w:rPr>
      </w:pPr>
      <w:r w:rsidRPr="00F00CD9">
        <w:rPr>
          <w:rFonts w:cs="Arial"/>
          <w:b/>
        </w:rPr>
        <w:t>Education Services</w:t>
      </w:r>
      <w:r w:rsidRPr="00F00CD9">
        <w:rPr>
          <w:rFonts w:cs="Arial"/>
          <w:bCs/>
        </w:rPr>
        <w:t xml:space="preserve"> – net overspend £552k. This is due to pressures </w:t>
      </w:r>
      <w:r w:rsidRPr="00F00CD9">
        <w:rPr>
          <w:rFonts w:cs="Arial"/>
        </w:rPr>
        <w:t xml:space="preserve">in relation to SEN Assessment &amp; Review Service and Educational Psychology </w:t>
      </w:r>
      <w:r>
        <w:rPr>
          <w:rFonts w:cs="Arial"/>
        </w:rPr>
        <w:t xml:space="preserve">for Covid-19 </w:t>
      </w:r>
      <w:r w:rsidRPr="00F00CD9">
        <w:rPr>
          <w:rFonts w:cs="Arial"/>
        </w:rPr>
        <w:t>recovery of which £350k is funded from a draw down from a reserve. There is also an additional £145k pressure due to agency staff required to fill established vacancies in the Educational Psychology service which is struggling to recruit permanent staff and where agency staff are significantly more expensive than permanent staff.</w:t>
      </w:r>
    </w:p>
    <w:p w14:paraId="6F4BA85F" w14:textId="77777777" w:rsidR="008470E0" w:rsidRPr="00F00CD9" w:rsidRDefault="008470E0" w:rsidP="008470E0">
      <w:pPr>
        <w:pStyle w:val="ListParagraph"/>
        <w:rPr>
          <w:rFonts w:cs="Arial"/>
          <w:b/>
        </w:rPr>
      </w:pPr>
    </w:p>
    <w:p w14:paraId="448737AD" w14:textId="77777777" w:rsidR="008470E0" w:rsidRPr="00F00CD9" w:rsidRDefault="008470E0" w:rsidP="008470E0">
      <w:pPr>
        <w:pStyle w:val="ListParagraph"/>
        <w:numPr>
          <w:ilvl w:val="0"/>
          <w:numId w:val="6"/>
        </w:numPr>
        <w:suppressAutoHyphens/>
        <w:ind w:left="460" w:hanging="567"/>
        <w:jc w:val="both"/>
        <w:rPr>
          <w:rFonts w:cs="Arial"/>
          <w:bCs/>
        </w:rPr>
      </w:pPr>
      <w:r w:rsidRPr="00F00CD9">
        <w:rPr>
          <w:rFonts w:cs="Arial"/>
          <w:b/>
        </w:rPr>
        <w:t xml:space="preserve">Capital Programme </w:t>
      </w:r>
      <w:r>
        <w:rPr>
          <w:rFonts w:cs="Arial"/>
          <w:bCs/>
        </w:rPr>
        <w:t xml:space="preserve">- net </w:t>
      </w:r>
      <w:r w:rsidRPr="00F00CD9">
        <w:rPr>
          <w:rFonts w:cs="Arial"/>
          <w:bCs/>
        </w:rPr>
        <w:t>overspend £29k</w:t>
      </w:r>
      <w:r>
        <w:rPr>
          <w:rFonts w:cs="Arial"/>
          <w:bCs/>
        </w:rPr>
        <w:t xml:space="preserve">. This relates to </w:t>
      </w:r>
      <w:r w:rsidRPr="00F00CD9">
        <w:rPr>
          <w:rFonts w:cs="Arial"/>
        </w:rPr>
        <w:t>feasibility studies which must be charged to revenue until the it is determined whether the capital scheme can proceed.</w:t>
      </w:r>
    </w:p>
    <w:p w14:paraId="126FC8BC" w14:textId="77777777" w:rsidR="008470E0" w:rsidRPr="00F00CD9" w:rsidRDefault="008470E0" w:rsidP="008470E0">
      <w:pPr>
        <w:pStyle w:val="ListParagraph"/>
        <w:rPr>
          <w:rFonts w:cs="Arial"/>
        </w:rPr>
      </w:pPr>
    </w:p>
    <w:p w14:paraId="65748273" w14:textId="77777777" w:rsidR="008470E0" w:rsidRPr="00F00CD9" w:rsidRDefault="008470E0" w:rsidP="008470E0">
      <w:pPr>
        <w:pStyle w:val="ListParagraph"/>
        <w:numPr>
          <w:ilvl w:val="0"/>
          <w:numId w:val="6"/>
        </w:numPr>
        <w:suppressAutoHyphens/>
        <w:ind w:left="460" w:hanging="567"/>
        <w:jc w:val="both"/>
        <w:rPr>
          <w:rFonts w:cs="Arial"/>
          <w:bCs/>
        </w:rPr>
      </w:pPr>
      <w:r w:rsidRPr="00F00CD9">
        <w:rPr>
          <w:rFonts w:cs="Arial"/>
        </w:rPr>
        <w:t>The above pressures are partially mitigated by the following income/drawdowns:</w:t>
      </w:r>
    </w:p>
    <w:p w14:paraId="41BD71C9" w14:textId="77777777" w:rsidR="008470E0" w:rsidRPr="00F00CD9" w:rsidRDefault="008470E0" w:rsidP="008470E0">
      <w:pPr>
        <w:pStyle w:val="ListParagraph"/>
        <w:rPr>
          <w:rFonts w:cs="Arial"/>
          <w:b/>
        </w:rPr>
      </w:pPr>
    </w:p>
    <w:p w14:paraId="1BC2F71A" w14:textId="77777777" w:rsidR="008470E0" w:rsidRDefault="008470E0" w:rsidP="008470E0">
      <w:pPr>
        <w:pStyle w:val="ListParagraph"/>
        <w:numPr>
          <w:ilvl w:val="0"/>
          <w:numId w:val="6"/>
        </w:numPr>
        <w:suppressAutoHyphens/>
        <w:ind w:left="460" w:hanging="567"/>
        <w:jc w:val="both"/>
        <w:rPr>
          <w:rFonts w:cs="Arial"/>
          <w:bCs/>
        </w:rPr>
      </w:pPr>
      <w:r w:rsidRPr="00F00CD9">
        <w:rPr>
          <w:rFonts w:cs="Arial"/>
          <w:b/>
        </w:rPr>
        <w:t>One-off grant and other income</w:t>
      </w:r>
      <w:r w:rsidRPr="00F00CD9">
        <w:rPr>
          <w:rFonts w:cs="Arial"/>
          <w:bCs/>
        </w:rPr>
        <w:t xml:space="preserve"> – net underspend £627k. </w:t>
      </w:r>
    </w:p>
    <w:p w14:paraId="218E5413" w14:textId="77777777" w:rsidR="008470E0" w:rsidRPr="00F00CD9" w:rsidRDefault="008470E0" w:rsidP="008470E0">
      <w:pPr>
        <w:suppressAutoHyphens/>
        <w:jc w:val="both"/>
        <w:rPr>
          <w:rFonts w:cs="Arial"/>
          <w:bCs/>
        </w:rPr>
      </w:pPr>
    </w:p>
    <w:p w14:paraId="6C3C1625" w14:textId="77777777" w:rsidR="008470E0" w:rsidRPr="00F00CD9" w:rsidRDefault="008470E0" w:rsidP="008470E0">
      <w:pPr>
        <w:pStyle w:val="ListParagraph"/>
        <w:numPr>
          <w:ilvl w:val="0"/>
          <w:numId w:val="6"/>
        </w:numPr>
        <w:suppressAutoHyphens/>
        <w:ind w:left="460" w:hanging="567"/>
        <w:jc w:val="both"/>
        <w:rPr>
          <w:rFonts w:cs="Arial"/>
          <w:bCs/>
        </w:rPr>
      </w:pPr>
      <w:r w:rsidRPr="00F00CD9">
        <w:rPr>
          <w:rFonts w:cs="Arial"/>
          <w:b/>
        </w:rPr>
        <w:t>Drawdown from Reserves</w:t>
      </w:r>
      <w:r>
        <w:rPr>
          <w:rFonts w:cs="Arial"/>
          <w:bCs/>
        </w:rPr>
        <w:t xml:space="preserve"> – net underspe</w:t>
      </w:r>
      <w:r w:rsidRPr="00F00CD9">
        <w:rPr>
          <w:rFonts w:cs="Arial"/>
          <w:bCs/>
        </w:rPr>
        <w:t>nd</w:t>
      </w:r>
      <w:r>
        <w:rPr>
          <w:rFonts w:cs="Arial"/>
          <w:bCs/>
        </w:rPr>
        <w:t xml:space="preserve"> </w:t>
      </w:r>
      <w:r w:rsidRPr="00F00CD9">
        <w:rPr>
          <w:rFonts w:cs="Arial"/>
          <w:bCs/>
        </w:rPr>
        <w:t>£2.528m</w:t>
      </w:r>
      <w:r>
        <w:rPr>
          <w:rFonts w:cs="Arial"/>
          <w:bCs/>
        </w:rPr>
        <w:t xml:space="preserve">. </w:t>
      </w:r>
    </w:p>
    <w:p w14:paraId="582A80F3" w14:textId="77777777" w:rsidR="008470E0" w:rsidRDefault="008470E0" w:rsidP="008470E0">
      <w:pPr>
        <w:rPr>
          <w:rFonts w:cs="Arial"/>
          <w:b/>
        </w:rPr>
      </w:pPr>
    </w:p>
    <w:p w14:paraId="6A0F54FA" w14:textId="77777777" w:rsidR="008470E0" w:rsidRDefault="008470E0" w:rsidP="008470E0">
      <w:pPr>
        <w:ind w:left="460"/>
        <w:rPr>
          <w:rFonts w:cs="Arial"/>
          <w:b/>
        </w:rPr>
      </w:pPr>
      <w:r>
        <w:rPr>
          <w:rFonts w:cs="Arial"/>
          <w:b/>
        </w:rPr>
        <w:t>Dedicated Schools Grant (DSG)</w:t>
      </w:r>
    </w:p>
    <w:p w14:paraId="693BE657" w14:textId="77777777" w:rsidR="008470E0" w:rsidRDefault="008470E0" w:rsidP="008470E0">
      <w:pPr>
        <w:ind w:left="460"/>
        <w:rPr>
          <w:rFonts w:cs="Arial"/>
          <w:b/>
        </w:rPr>
      </w:pPr>
    </w:p>
    <w:p w14:paraId="3A008A8C"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bCs/>
        </w:rPr>
        <w:t xml:space="preserve">The DSG </w:t>
      </w:r>
      <w:r w:rsidRPr="00A576F8">
        <w:rPr>
          <w:rFonts w:cs="Arial"/>
        </w:rPr>
        <w:t>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w:t>
      </w:r>
      <w:r>
        <w:rPr>
          <w:rFonts w:cs="Arial"/>
        </w:rPr>
        <w:t>k</w:t>
      </w:r>
    </w:p>
    <w:p w14:paraId="41CFE8C3" w14:textId="77777777" w:rsidR="008470E0" w:rsidRDefault="008470E0" w:rsidP="008470E0">
      <w:pPr>
        <w:pStyle w:val="ListParagraph"/>
        <w:tabs>
          <w:tab w:val="left" w:pos="0"/>
          <w:tab w:val="left" w:pos="3402"/>
        </w:tabs>
        <w:suppressAutoHyphens/>
        <w:ind w:left="567"/>
        <w:jc w:val="both"/>
        <w:rPr>
          <w:rFonts w:cs="Arial"/>
        </w:rPr>
      </w:pPr>
    </w:p>
    <w:p w14:paraId="60215AC1"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There is a projected overspend on the High Needs Block of £712k in 2021-22 which added to the cumulative deficit of £3.730m brought forward from 2019-20 and 2020-21 will take the total deficit at the end of March 2022 to £4.442m.</w:t>
      </w:r>
    </w:p>
    <w:p w14:paraId="7AA376C0" w14:textId="77777777" w:rsidR="008470E0" w:rsidRPr="00A576F8" w:rsidRDefault="008470E0" w:rsidP="008470E0">
      <w:pPr>
        <w:pStyle w:val="ListParagraph"/>
        <w:rPr>
          <w:rFonts w:cs="Arial"/>
        </w:rPr>
      </w:pPr>
    </w:p>
    <w:p w14:paraId="6C0F9F61"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 xml:space="preserve">Any deficits an authority may have on its DSG account is expected to be carried forward and does not require to be covered by the authority’s general reserves. This is a temporary arrangement until 2022-23 beyond which LAs must demonstrate they have </w:t>
      </w:r>
      <w:proofErr w:type="gramStart"/>
      <w:r w:rsidRPr="00A576F8">
        <w:rPr>
          <w:rFonts w:cs="Arial"/>
        </w:rPr>
        <w:t>sufficient</w:t>
      </w:r>
      <w:proofErr w:type="gramEnd"/>
      <w:r w:rsidRPr="00A576F8">
        <w:rPr>
          <w:rFonts w:cs="Arial"/>
        </w:rPr>
        <w:t xml:space="preserve"> reserves to cover the deficits.</w:t>
      </w:r>
    </w:p>
    <w:p w14:paraId="2E62415A" w14:textId="77777777" w:rsidR="008470E0" w:rsidRPr="00A576F8" w:rsidRDefault="008470E0" w:rsidP="008470E0">
      <w:pPr>
        <w:pStyle w:val="ListParagraph"/>
        <w:rPr>
          <w:rFonts w:cs="Arial"/>
        </w:rPr>
      </w:pPr>
    </w:p>
    <w:p w14:paraId="0A71EFF1"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lastRenderedPageBreak/>
        <w:t>With effect from 2019-20 the DfE has tightened up the rules under which local authorities have to explain their plans for bringing the DSG account back into balance.</w:t>
      </w:r>
    </w:p>
    <w:p w14:paraId="500EA6A6" w14:textId="77777777" w:rsidR="008470E0" w:rsidRPr="00A576F8" w:rsidRDefault="008470E0" w:rsidP="008470E0">
      <w:pPr>
        <w:pStyle w:val="ListParagraph"/>
        <w:rPr>
          <w:rFonts w:cs="Arial"/>
        </w:rPr>
      </w:pPr>
    </w:p>
    <w:p w14:paraId="5D1C0DB0" w14:textId="77777777" w:rsidR="008470E0" w:rsidRDefault="008470E0" w:rsidP="008470E0">
      <w:pPr>
        <w:pStyle w:val="ListParagraph"/>
        <w:numPr>
          <w:ilvl w:val="0"/>
          <w:numId w:val="6"/>
        </w:numPr>
        <w:tabs>
          <w:tab w:val="left" w:pos="0"/>
          <w:tab w:val="left" w:pos="3402"/>
        </w:tabs>
        <w:suppressAutoHyphens/>
        <w:ind w:left="567" w:hanging="567"/>
        <w:jc w:val="both"/>
        <w:rPr>
          <w:rFonts w:cs="Arial"/>
        </w:rPr>
      </w:pPr>
      <w:r w:rsidRPr="00A576F8">
        <w:rPr>
          <w:rFonts w:cs="Arial"/>
        </w:rPr>
        <w:t>The DfE will require a report from any LA that has a cumulative DSG deficit of more than 1% at the end of the financial year. The 1% calculation will be based on the latest published DSG allocations for 2021-22 compared with the deficit shown in the authority’s published draft accounts.</w:t>
      </w:r>
    </w:p>
    <w:p w14:paraId="1845FB8C" w14:textId="77777777" w:rsidR="008470E0" w:rsidRPr="00A576F8" w:rsidRDefault="008470E0" w:rsidP="008470E0">
      <w:pPr>
        <w:pStyle w:val="ListParagraph"/>
        <w:rPr>
          <w:rFonts w:cs="Arial"/>
        </w:rPr>
      </w:pPr>
    </w:p>
    <w:p w14:paraId="4FCFDED5" w14:textId="77777777" w:rsidR="008470E0" w:rsidRPr="00A576F8"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A576F8">
        <w:rPr>
          <w:rFonts w:cs="Arial"/>
        </w:rPr>
        <w:t xml:space="preserve">The final deficit at the end of 2020-21 of £3.730m represents 1.55% of the overall DSG </w:t>
      </w:r>
      <w:r w:rsidRPr="00A576F8">
        <w:rPr>
          <w:rFonts w:cs="Arial"/>
          <w:szCs w:val="24"/>
        </w:rPr>
        <w:t>allocation (including academy funding). The recovery plan has been drafted however and discussed with Schools Forum. However, the following points should be noted</w:t>
      </w:r>
    </w:p>
    <w:p w14:paraId="74A47B53" w14:textId="77777777" w:rsidR="008470E0" w:rsidRPr="00A576F8" w:rsidRDefault="008470E0" w:rsidP="008470E0">
      <w:pPr>
        <w:pStyle w:val="ListParagraph"/>
        <w:rPr>
          <w:rFonts w:cs="Arial"/>
          <w:szCs w:val="24"/>
        </w:rPr>
      </w:pPr>
    </w:p>
    <w:p w14:paraId="651C1935" w14:textId="77777777" w:rsidR="008470E0" w:rsidRPr="00A576F8"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A576F8">
        <w:rPr>
          <w:rFonts w:cs="Arial"/>
          <w:szCs w:val="24"/>
        </w:rPr>
        <w:t>Despite the significant proposals and measures planned over the next ten years, this will not mitigate the deficit. This is due to the following contributory factors:</w:t>
      </w:r>
    </w:p>
    <w:p w14:paraId="0200026A"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historical underfunding</w:t>
      </w:r>
    </w:p>
    <w:p w14:paraId="55694F29"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current budgets being based on historical budgets rather than historical spend</w:t>
      </w:r>
    </w:p>
    <w:p w14:paraId="440EA9A5"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extension of age range to include 0-5 and post 19</w:t>
      </w:r>
    </w:p>
    <w:p w14:paraId="018EEFF1"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current and projected formulaic funding which does not keep pace with demand</w:t>
      </w:r>
    </w:p>
    <w:p w14:paraId="6397B196"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significant historical and projected growth in number of EHCPs</w:t>
      </w:r>
    </w:p>
    <w:p w14:paraId="4D84BACF" w14:textId="77777777" w:rsidR="008470E0" w:rsidRPr="00A576F8" w:rsidRDefault="008470E0" w:rsidP="008470E0">
      <w:pPr>
        <w:pStyle w:val="ListParagraph"/>
        <w:numPr>
          <w:ilvl w:val="0"/>
          <w:numId w:val="14"/>
        </w:numPr>
        <w:spacing w:after="200" w:line="276" w:lineRule="auto"/>
        <w:ind w:left="1701" w:hanging="567"/>
        <w:contextualSpacing/>
        <w:rPr>
          <w:rFonts w:cs="Arial"/>
          <w:szCs w:val="24"/>
        </w:rPr>
      </w:pPr>
      <w:r w:rsidRPr="00A576F8">
        <w:rPr>
          <w:rFonts w:cs="Arial"/>
          <w:szCs w:val="24"/>
        </w:rPr>
        <w:t>continued growth in complexity of pupils’ needs</w:t>
      </w:r>
    </w:p>
    <w:p w14:paraId="77FF6B0A" w14:textId="77777777" w:rsidR="008470E0" w:rsidRPr="004B7EAA" w:rsidRDefault="008470E0" w:rsidP="008470E0">
      <w:pPr>
        <w:pStyle w:val="ListParagraph"/>
        <w:numPr>
          <w:ilvl w:val="0"/>
          <w:numId w:val="14"/>
        </w:numPr>
        <w:spacing w:after="200"/>
        <w:ind w:left="1701" w:hanging="567"/>
        <w:contextualSpacing/>
        <w:rPr>
          <w:rFonts w:cs="Arial"/>
          <w:i/>
        </w:rPr>
      </w:pPr>
      <w:r w:rsidRPr="00A576F8">
        <w:rPr>
          <w:rFonts w:cs="Arial"/>
          <w:szCs w:val="24"/>
        </w:rPr>
        <w:t>limitations about creating cost effective provision in borough due to capacity and site limitations</w:t>
      </w:r>
    </w:p>
    <w:p w14:paraId="364D98A0" w14:textId="77777777" w:rsidR="008470E0" w:rsidRDefault="008470E0" w:rsidP="008470E0">
      <w:pPr>
        <w:ind w:left="567"/>
        <w:jc w:val="both"/>
        <w:rPr>
          <w:rFonts w:cs="Arial"/>
          <w:b/>
          <w:bCs/>
          <w:szCs w:val="24"/>
        </w:rPr>
      </w:pPr>
      <w:r>
        <w:rPr>
          <w:rFonts w:cs="Arial"/>
          <w:b/>
          <w:bCs/>
          <w:szCs w:val="24"/>
        </w:rPr>
        <w:t>HOUSING REVENUE ACCOUNT (HRA)</w:t>
      </w:r>
    </w:p>
    <w:p w14:paraId="59E4F050" w14:textId="77777777" w:rsidR="008470E0" w:rsidRPr="00EA30B3" w:rsidRDefault="008470E0" w:rsidP="008470E0">
      <w:pPr>
        <w:pStyle w:val="ListParagraph"/>
        <w:rPr>
          <w:rFonts w:cs="Arial"/>
          <w:szCs w:val="24"/>
        </w:rPr>
      </w:pPr>
    </w:p>
    <w:p w14:paraId="3EE42420" w14:textId="77777777" w:rsidR="008470E0" w:rsidRPr="009321AE" w:rsidRDefault="008470E0" w:rsidP="008470E0">
      <w:pPr>
        <w:pStyle w:val="ListParagraph"/>
        <w:numPr>
          <w:ilvl w:val="0"/>
          <w:numId w:val="6"/>
        </w:numPr>
        <w:ind w:left="460" w:hanging="567"/>
        <w:jc w:val="both"/>
        <w:rPr>
          <w:rFonts w:cs="Arial"/>
          <w:b/>
          <w:bCs/>
        </w:rPr>
      </w:pPr>
      <w:r>
        <w:rPr>
          <w:rFonts w:cs="Arial"/>
          <w:szCs w:val="24"/>
        </w:rPr>
        <w:t>As at Q1 the HRA is forecast to make a small surplus of £74k which brings the reserves in line with the budgeted position. However, within this figure are significant variances. There are pressures of £678k of which £494k relates to lower rental income and £184k due to higher depreciation charges. These have been offset by lower capital charges of £752k.</w:t>
      </w:r>
    </w:p>
    <w:p w14:paraId="514AAB27" w14:textId="77777777" w:rsidR="008470E0" w:rsidRPr="009321AE" w:rsidRDefault="008470E0" w:rsidP="008470E0">
      <w:pPr>
        <w:pStyle w:val="ListParagraph"/>
        <w:ind w:left="460"/>
        <w:jc w:val="both"/>
        <w:rPr>
          <w:rFonts w:cs="Arial"/>
          <w:b/>
          <w:bCs/>
        </w:rPr>
      </w:pPr>
    </w:p>
    <w:p w14:paraId="3894D49B" w14:textId="77777777" w:rsidR="008470E0" w:rsidRPr="009321AE" w:rsidRDefault="008470E0" w:rsidP="008470E0">
      <w:pPr>
        <w:pStyle w:val="ListParagraph"/>
        <w:numPr>
          <w:ilvl w:val="0"/>
          <w:numId w:val="6"/>
        </w:numPr>
        <w:ind w:left="460" w:hanging="567"/>
        <w:jc w:val="both"/>
        <w:rPr>
          <w:rFonts w:cs="Arial"/>
          <w:b/>
          <w:bCs/>
        </w:rPr>
      </w:pPr>
      <w:r>
        <w:rPr>
          <w:rFonts w:cs="Arial"/>
          <w:szCs w:val="24"/>
        </w:rPr>
        <w:t>The income pressure and lower capital charges are due to the reprofiling of the Council’s House Building programme (lower property numbers than budgeted for and forecast reduction in requirement to borrow).</w:t>
      </w:r>
    </w:p>
    <w:p w14:paraId="40AD0531" w14:textId="77777777" w:rsidR="008470E0" w:rsidRPr="009321AE" w:rsidRDefault="008470E0" w:rsidP="008470E0">
      <w:pPr>
        <w:pStyle w:val="ListParagraph"/>
        <w:ind w:left="460"/>
        <w:jc w:val="both"/>
        <w:rPr>
          <w:rFonts w:cs="Arial"/>
          <w:b/>
          <w:bCs/>
        </w:rPr>
      </w:pPr>
    </w:p>
    <w:p w14:paraId="48ACFC32" w14:textId="77777777" w:rsidR="008470E0" w:rsidRPr="009321AE" w:rsidRDefault="008470E0" w:rsidP="008470E0">
      <w:pPr>
        <w:pStyle w:val="ListParagraph"/>
        <w:numPr>
          <w:ilvl w:val="0"/>
          <w:numId w:val="6"/>
        </w:numPr>
        <w:ind w:left="460" w:hanging="567"/>
        <w:jc w:val="both"/>
        <w:rPr>
          <w:rFonts w:cs="Arial"/>
          <w:b/>
          <w:bCs/>
        </w:rPr>
      </w:pPr>
      <w:r>
        <w:rPr>
          <w:rFonts w:cs="Arial"/>
          <w:szCs w:val="24"/>
        </w:rPr>
        <w:t>At present, operational expenditure is forecast to spend within budget. However, this will be monitored to understand the financial impact of the relaxation of Covid-19 restrictions.</w:t>
      </w:r>
    </w:p>
    <w:p w14:paraId="2F53EA60" w14:textId="77777777" w:rsidR="008470E0" w:rsidRPr="009321AE" w:rsidRDefault="008470E0" w:rsidP="008470E0">
      <w:pPr>
        <w:pStyle w:val="ListParagraph"/>
        <w:ind w:left="460"/>
        <w:jc w:val="both"/>
        <w:rPr>
          <w:rFonts w:cs="Arial"/>
          <w:b/>
          <w:bCs/>
        </w:rPr>
      </w:pPr>
    </w:p>
    <w:p w14:paraId="4153210B" w14:textId="77777777" w:rsidR="008470E0" w:rsidRPr="00442B56" w:rsidRDefault="008470E0" w:rsidP="008470E0">
      <w:pPr>
        <w:pStyle w:val="ListParagraph"/>
        <w:numPr>
          <w:ilvl w:val="0"/>
          <w:numId w:val="6"/>
        </w:numPr>
        <w:ind w:left="460" w:hanging="567"/>
        <w:jc w:val="both"/>
        <w:rPr>
          <w:rFonts w:cs="Arial"/>
          <w:b/>
          <w:bCs/>
        </w:rPr>
      </w:pPr>
      <w:r w:rsidRPr="007B6DBF">
        <w:t xml:space="preserve">The expected HRA reserve position </w:t>
      </w:r>
      <w:r>
        <w:t>is</w:t>
      </w:r>
      <w:r w:rsidRPr="007B6DBF">
        <w:t xml:space="preserve"> set out below</w:t>
      </w:r>
      <w:r>
        <w:t xml:space="preserve"> at Table 2:</w:t>
      </w:r>
    </w:p>
    <w:p w14:paraId="2D27775E" w14:textId="61B4BEED" w:rsidR="008470E0" w:rsidRDefault="008470E0" w:rsidP="008470E0">
      <w:pPr>
        <w:pStyle w:val="ListParagraph"/>
        <w:rPr>
          <w:rFonts w:cs="Arial"/>
          <w:b/>
          <w:bCs/>
        </w:rPr>
      </w:pPr>
    </w:p>
    <w:p w14:paraId="6E0D6489" w14:textId="12D6BED4" w:rsidR="008470E0" w:rsidRDefault="008470E0" w:rsidP="008470E0">
      <w:pPr>
        <w:pStyle w:val="ListParagraph"/>
        <w:rPr>
          <w:rFonts w:cs="Arial"/>
          <w:b/>
          <w:bCs/>
        </w:rPr>
      </w:pPr>
    </w:p>
    <w:p w14:paraId="53638396" w14:textId="2BBBF0A7" w:rsidR="008470E0" w:rsidRDefault="008470E0" w:rsidP="008470E0">
      <w:pPr>
        <w:pStyle w:val="ListParagraph"/>
        <w:rPr>
          <w:rFonts w:cs="Arial"/>
          <w:b/>
          <w:bCs/>
        </w:rPr>
      </w:pPr>
    </w:p>
    <w:p w14:paraId="640C045E" w14:textId="77777777" w:rsidR="008470E0" w:rsidRPr="00442B56" w:rsidRDefault="008470E0" w:rsidP="008470E0">
      <w:pPr>
        <w:pStyle w:val="ListParagraph"/>
        <w:rPr>
          <w:rFonts w:cs="Arial"/>
          <w:b/>
          <w:bCs/>
        </w:rPr>
      </w:pPr>
    </w:p>
    <w:p w14:paraId="5E1B18DA" w14:textId="77777777" w:rsidR="008470E0" w:rsidRPr="00442B56" w:rsidRDefault="008470E0" w:rsidP="008470E0">
      <w:pPr>
        <w:pStyle w:val="ListParagraph"/>
        <w:ind w:left="460"/>
        <w:jc w:val="both"/>
        <w:rPr>
          <w:rFonts w:cs="Arial"/>
          <w:b/>
          <w:bCs/>
          <w:u w:val="single"/>
        </w:rPr>
      </w:pPr>
      <w:r w:rsidRPr="00442B56">
        <w:rPr>
          <w:rFonts w:cs="Arial"/>
          <w:b/>
          <w:bCs/>
          <w:u w:val="single"/>
        </w:rPr>
        <w:lastRenderedPageBreak/>
        <w:t>Table 2 – Housing Revenue Account Reserves 2021/22</w:t>
      </w:r>
    </w:p>
    <w:p w14:paraId="50955CE1" w14:textId="77777777" w:rsidR="008470E0" w:rsidRPr="007B6DBF" w:rsidRDefault="008470E0" w:rsidP="008470E0"/>
    <w:tbl>
      <w:tblPr>
        <w:tblpPr w:leftFromText="180" w:rightFromText="180" w:vertAnchor="text" w:horzAnchor="margin" w:tblpXSpec="center" w:tblpY="65"/>
        <w:tblW w:w="8201" w:type="dxa"/>
        <w:tblLook w:val="04A0" w:firstRow="1" w:lastRow="0" w:firstColumn="1" w:lastColumn="0" w:noHBand="0" w:noVBand="1"/>
      </w:tblPr>
      <w:tblGrid>
        <w:gridCol w:w="2518"/>
        <w:gridCol w:w="1134"/>
        <w:gridCol w:w="992"/>
        <w:gridCol w:w="993"/>
        <w:gridCol w:w="1417"/>
        <w:gridCol w:w="1147"/>
      </w:tblGrid>
      <w:tr w:rsidR="008470E0" w:rsidRPr="007B6DBF" w14:paraId="168CEA56" w14:textId="77777777" w:rsidTr="004B4AC2">
        <w:trPr>
          <w:trHeight w:val="69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FCFB" w14:textId="77777777" w:rsidR="008470E0" w:rsidRPr="00025B31" w:rsidRDefault="008470E0" w:rsidP="004B4AC2">
            <w:pPr>
              <w:rPr>
                <w:rFonts w:cs="Arial"/>
                <w:b/>
                <w:bCs/>
                <w:sz w:val="20"/>
                <w:lang w:eastAsia="en-GB"/>
              </w:rPr>
            </w:pPr>
            <w:r w:rsidRPr="00025B31">
              <w:rPr>
                <w:rFonts w:cs="Arial"/>
                <w:b/>
                <w:bCs/>
                <w:sz w:val="20"/>
                <w:lang w:eastAsia="en-GB"/>
              </w:rPr>
              <w:t>HRA revenue balances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ADE97A" w14:textId="77777777" w:rsidR="008470E0" w:rsidRPr="00025B31" w:rsidRDefault="008470E0" w:rsidP="004B4AC2">
            <w:pPr>
              <w:jc w:val="center"/>
              <w:rPr>
                <w:rFonts w:cs="Arial"/>
                <w:b/>
                <w:bCs/>
                <w:sz w:val="20"/>
                <w:lang w:eastAsia="en-GB"/>
              </w:rPr>
            </w:pPr>
            <w:r w:rsidRPr="00025B31">
              <w:rPr>
                <w:rFonts w:cs="Arial"/>
                <w:b/>
                <w:bCs/>
                <w:sz w:val="20"/>
                <w:lang w:eastAsia="en-GB"/>
              </w:rPr>
              <w:t>Outturn 2020/21 pre audit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29AF4" w14:textId="77777777" w:rsidR="008470E0" w:rsidRPr="00025B31" w:rsidRDefault="008470E0" w:rsidP="004B4AC2">
            <w:pPr>
              <w:jc w:val="center"/>
              <w:rPr>
                <w:rFonts w:cs="Arial"/>
                <w:b/>
                <w:bCs/>
                <w:sz w:val="20"/>
                <w:lang w:eastAsia="en-GB"/>
              </w:rPr>
            </w:pPr>
            <w:r w:rsidRPr="00025B31">
              <w:rPr>
                <w:rFonts w:cs="Arial"/>
                <w:b/>
                <w:bCs/>
                <w:sz w:val="20"/>
                <w:lang w:eastAsia="en-GB"/>
              </w:rPr>
              <w:t>Budget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5F4DDE" w14:textId="77777777" w:rsidR="008470E0" w:rsidRPr="00025B31" w:rsidRDefault="008470E0" w:rsidP="004B4AC2">
            <w:pPr>
              <w:jc w:val="center"/>
              <w:rPr>
                <w:rFonts w:cs="Arial"/>
                <w:b/>
                <w:bCs/>
                <w:sz w:val="20"/>
                <w:lang w:eastAsia="en-GB"/>
              </w:rPr>
            </w:pPr>
            <w:r w:rsidRPr="00025B31">
              <w:rPr>
                <w:rFonts w:cs="Arial"/>
                <w:b/>
                <w:bCs/>
                <w:sz w:val="20"/>
                <w:lang w:eastAsia="en-GB"/>
              </w:rPr>
              <w:t>YTD actual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3B2594" w14:textId="77777777" w:rsidR="008470E0" w:rsidRPr="00025B31" w:rsidRDefault="008470E0" w:rsidP="004B4AC2">
            <w:pPr>
              <w:jc w:val="center"/>
              <w:rPr>
                <w:rFonts w:cs="Arial"/>
                <w:b/>
                <w:bCs/>
                <w:sz w:val="20"/>
                <w:lang w:eastAsia="en-GB"/>
              </w:rPr>
            </w:pPr>
            <w:r w:rsidRPr="00025B31">
              <w:rPr>
                <w:rFonts w:cs="Arial"/>
                <w:b/>
                <w:bCs/>
                <w:sz w:val="20"/>
                <w:lang w:eastAsia="en-GB"/>
              </w:rPr>
              <w:t>Forecast</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031D4FD9" w14:textId="77777777" w:rsidR="008470E0" w:rsidRPr="00025B31" w:rsidRDefault="008470E0" w:rsidP="004B4AC2">
            <w:pPr>
              <w:jc w:val="center"/>
              <w:rPr>
                <w:rFonts w:cs="Arial"/>
                <w:b/>
                <w:bCs/>
                <w:sz w:val="20"/>
                <w:lang w:eastAsia="en-GB"/>
              </w:rPr>
            </w:pPr>
            <w:r w:rsidRPr="00025B31">
              <w:rPr>
                <w:rFonts w:cs="Arial"/>
                <w:b/>
                <w:bCs/>
                <w:sz w:val="20"/>
                <w:lang w:eastAsia="en-GB"/>
              </w:rPr>
              <w:t>Variance</w:t>
            </w:r>
          </w:p>
        </w:tc>
      </w:tr>
      <w:tr w:rsidR="008470E0" w:rsidRPr="007B6DBF" w14:paraId="0173502B"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tcPr>
          <w:p w14:paraId="3706A90E"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tcPr>
          <w:p w14:paraId="15905754"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2" w:type="dxa"/>
            <w:tcBorders>
              <w:top w:val="nil"/>
              <w:left w:val="nil"/>
              <w:bottom w:val="single" w:sz="4" w:space="0" w:color="auto"/>
              <w:right w:val="single" w:sz="4" w:space="0" w:color="auto"/>
            </w:tcBorders>
            <w:shd w:val="clear" w:color="auto" w:fill="auto"/>
            <w:vAlign w:val="center"/>
          </w:tcPr>
          <w:p w14:paraId="5D72F1CD"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3" w:type="dxa"/>
            <w:tcBorders>
              <w:top w:val="nil"/>
              <w:left w:val="nil"/>
              <w:bottom w:val="single" w:sz="4" w:space="0" w:color="auto"/>
              <w:right w:val="single" w:sz="4" w:space="0" w:color="auto"/>
            </w:tcBorders>
            <w:shd w:val="clear" w:color="auto" w:fill="auto"/>
          </w:tcPr>
          <w:p w14:paraId="1DB33FD5" w14:textId="77777777" w:rsidR="008470E0" w:rsidRPr="00025B31" w:rsidRDefault="008470E0" w:rsidP="004B4AC2">
            <w:pPr>
              <w:jc w:val="right"/>
              <w:rPr>
                <w:rFonts w:cs="Arial"/>
                <w:sz w:val="20"/>
                <w:lang w:eastAsia="en-GB"/>
              </w:rPr>
            </w:pPr>
            <w:r w:rsidRPr="00025B31">
              <w:rPr>
                <w:sz w:val="20"/>
              </w:rPr>
              <w:t>£’000</w:t>
            </w:r>
          </w:p>
        </w:tc>
        <w:tc>
          <w:tcPr>
            <w:tcW w:w="1417" w:type="dxa"/>
            <w:tcBorders>
              <w:top w:val="nil"/>
              <w:left w:val="nil"/>
              <w:bottom w:val="single" w:sz="4" w:space="0" w:color="auto"/>
              <w:right w:val="single" w:sz="4" w:space="0" w:color="auto"/>
            </w:tcBorders>
            <w:shd w:val="clear" w:color="auto" w:fill="auto"/>
          </w:tcPr>
          <w:p w14:paraId="00A4999C" w14:textId="77777777" w:rsidR="008470E0" w:rsidRPr="00025B31" w:rsidRDefault="008470E0" w:rsidP="004B4AC2">
            <w:pPr>
              <w:jc w:val="right"/>
              <w:rPr>
                <w:rFonts w:cs="Arial"/>
                <w:sz w:val="20"/>
                <w:lang w:eastAsia="en-GB"/>
              </w:rPr>
            </w:pPr>
            <w:r w:rsidRPr="00025B31">
              <w:rPr>
                <w:sz w:val="20"/>
              </w:rPr>
              <w:t>£’000</w:t>
            </w:r>
          </w:p>
        </w:tc>
        <w:tc>
          <w:tcPr>
            <w:tcW w:w="1147" w:type="dxa"/>
            <w:tcBorders>
              <w:top w:val="nil"/>
              <w:left w:val="nil"/>
              <w:bottom w:val="single" w:sz="4" w:space="0" w:color="auto"/>
              <w:right w:val="single" w:sz="4" w:space="0" w:color="auto"/>
            </w:tcBorders>
            <w:shd w:val="clear" w:color="auto" w:fill="auto"/>
          </w:tcPr>
          <w:p w14:paraId="45A5B73C" w14:textId="77777777" w:rsidR="008470E0" w:rsidRPr="00025B31" w:rsidRDefault="008470E0" w:rsidP="004B4AC2">
            <w:pPr>
              <w:jc w:val="right"/>
              <w:rPr>
                <w:rFonts w:cs="Arial"/>
                <w:sz w:val="20"/>
                <w:lang w:eastAsia="en-GB"/>
              </w:rPr>
            </w:pPr>
            <w:r w:rsidRPr="00025B31">
              <w:rPr>
                <w:sz w:val="20"/>
              </w:rPr>
              <w:t>£’000</w:t>
            </w:r>
          </w:p>
        </w:tc>
      </w:tr>
      <w:tr w:rsidR="008470E0" w:rsidRPr="007B6DBF" w14:paraId="53E8868D"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FD7389E" w14:textId="77777777" w:rsidR="008470E0" w:rsidRPr="00025B31" w:rsidRDefault="008470E0" w:rsidP="004B4AC2">
            <w:pPr>
              <w:rPr>
                <w:rFonts w:cs="Arial"/>
                <w:sz w:val="20"/>
                <w:lang w:eastAsia="en-GB"/>
              </w:rPr>
            </w:pPr>
            <w:r w:rsidRPr="00025B31">
              <w:rPr>
                <w:rFonts w:cs="Arial"/>
                <w:sz w:val="20"/>
                <w:lang w:eastAsia="en-GB"/>
              </w:rPr>
              <w:t>Balance b/</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EA3EBAD" w14:textId="77777777" w:rsidR="008470E0" w:rsidRPr="00025B31" w:rsidRDefault="008470E0" w:rsidP="004B4AC2">
            <w:pPr>
              <w:jc w:val="right"/>
              <w:rPr>
                <w:rFonts w:cs="Arial"/>
                <w:sz w:val="20"/>
                <w:lang w:eastAsia="en-GB"/>
              </w:rPr>
            </w:pPr>
            <w:r w:rsidRPr="00025B31">
              <w:rPr>
                <w:rFonts w:cs="Arial"/>
                <w:sz w:val="20"/>
                <w:lang w:eastAsia="en-GB"/>
              </w:rPr>
              <w:t>-7,526</w:t>
            </w:r>
          </w:p>
        </w:tc>
        <w:tc>
          <w:tcPr>
            <w:tcW w:w="992" w:type="dxa"/>
            <w:tcBorders>
              <w:top w:val="nil"/>
              <w:left w:val="nil"/>
              <w:bottom w:val="single" w:sz="4" w:space="0" w:color="auto"/>
              <w:right w:val="single" w:sz="4" w:space="0" w:color="auto"/>
            </w:tcBorders>
            <w:shd w:val="clear" w:color="auto" w:fill="auto"/>
            <w:vAlign w:val="center"/>
            <w:hideMark/>
          </w:tcPr>
          <w:p w14:paraId="31952ED4"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433252D5"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CA08AB8"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1147" w:type="dxa"/>
            <w:tcBorders>
              <w:top w:val="nil"/>
              <w:left w:val="nil"/>
              <w:bottom w:val="single" w:sz="4" w:space="0" w:color="auto"/>
              <w:right w:val="single" w:sz="4" w:space="0" w:color="auto"/>
            </w:tcBorders>
            <w:shd w:val="clear" w:color="auto" w:fill="auto"/>
            <w:vAlign w:val="center"/>
            <w:hideMark/>
          </w:tcPr>
          <w:p w14:paraId="35F6B0C7"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1590F058"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A7EBB46" w14:textId="77777777" w:rsidR="008470E0" w:rsidRPr="00025B31" w:rsidRDefault="008470E0" w:rsidP="004B4AC2">
            <w:pPr>
              <w:rPr>
                <w:rFonts w:cs="Arial"/>
                <w:sz w:val="20"/>
                <w:lang w:eastAsia="en-GB"/>
              </w:rPr>
            </w:pPr>
            <w:r w:rsidRPr="00025B31">
              <w:rPr>
                <w:rFonts w:cs="Arial"/>
                <w:sz w:val="20"/>
                <w:lang w:eastAsia="en-GB"/>
              </w:rPr>
              <w:t>Net (surplus) deficit</w:t>
            </w:r>
          </w:p>
        </w:tc>
        <w:tc>
          <w:tcPr>
            <w:tcW w:w="1134" w:type="dxa"/>
            <w:tcBorders>
              <w:top w:val="nil"/>
              <w:left w:val="nil"/>
              <w:bottom w:val="single" w:sz="4" w:space="0" w:color="auto"/>
              <w:right w:val="single" w:sz="4" w:space="0" w:color="auto"/>
            </w:tcBorders>
            <w:shd w:val="clear" w:color="auto" w:fill="auto"/>
            <w:vAlign w:val="center"/>
            <w:hideMark/>
          </w:tcPr>
          <w:p w14:paraId="0AE31D10" w14:textId="77777777" w:rsidR="008470E0" w:rsidRPr="00025B31" w:rsidRDefault="008470E0" w:rsidP="004B4AC2">
            <w:pPr>
              <w:jc w:val="right"/>
              <w:rPr>
                <w:rFonts w:cs="Arial"/>
                <w:sz w:val="20"/>
                <w:lang w:eastAsia="en-GB"/>
              </w:rPr>
            </w:pPr>
            <w:r w:rsidRPr="00025B31">
              <w:rPr>
                <w:rFonts w:cs="Arial"/>
                <w:sz w:val="20"/>
                <w:lang w:eastAsia="en-GB"/>
              </w:rPr>
              <w:t>339</w:t>
            </w:r>
          </w:p>
        </w:tc>
        <w:tc>
          <w:tcPr>
            <w:tcW w:w="992" w:type="dxa"/>
            <w:tcBorders>
              <w:top w:val="nil"/>
              <w:left w:val="nil"/>
              <w:bottom w:val="single" w:sz="4" w:space="0" w:color="auto"/>
              <w:right w:val="single" w:sz="4" w:space="0" w:color="auto"/>
            </w:tcBorders>
            <w:shd w:val="clear" w:color="auto" w:fill="auto"/>
            <w:vAlign w:val="center"/>
            <w:hideMark/>
          </w:tcPr>
          <w:p w14:paraId="45DE9DDE" w14:textId="77777777" w:rsidR="008470E0" w:rsidRPr="00025B31" w:rsidRDefault="008470E0" w:rsidP="004B4AC2">
            <w:pPr>
              <w:jc w:val="right"/>
              <w:rPr>
                <w:rFonts w:cs="Arial"/>
                <w:sz w:val="20"/>
                <w:lang w:eastAsia="en-GB"/>
              </w:rPr>
            </w:pPr>
          </w:p>
        </w:tc>
        <w:tc>
          <w:tcPr>
            <w:tcW w:w="993" w:type="dxa"/>
            <w:tcBorders>
              <w:top w:val="nil"/>
              <w:left w:val="nil"/>
              <w:bottom w:val="single" w:sz="4" w:space="0" w:color="auto"/>
              <w:right w:val="single" w:sz="4" w:space="0" w:color="auto"/>
            </w:tcBorders>
            <w:shd w:val="clear" w:color="auto" w:fill="auto"/>
            <w:vAlign w:val="center"/>
            <w:hideMark/>
          </w:tcPr>
          <w:p w14:paraId="085B2A30"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417" w:type="dxa"/>
            <w:tcBorders>
              <w:top w:val="nil"/>
              <w:left w:val="nil"/>
              <w:bottom w:val="single" w:sz="4" w:space="0" w:color="auto"/>
              <w:right w:val="single" w:sz="4" w:space="0" w:color="auto"/>
            </w:tcBorders>
            <w:shd w:val="clear" w:color="auto" w:fill="auto"/>
            <w:vAlign w:val="center"/>
            <w:hideMark/>
          </w:tcPr>
          <w:p w14:paraId="2C6E336E"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AB7BB16"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7BAB7929" w14:textId="77777777" w:rsidTr="004B4AC2">
        <w:trPr>
          <w:trHeight w:val="270"/>
        </w:trPr>
        <w:tc>
          <w:tcPr>
            <w:tcW w:w="8201" w:type="dxa"/>
            <w:gridSpan w:val="6"/>
            <w:tcBorders>
              <w:top w:val="nil"/>
              <w:left w:val="single" w:sz="4" w:space="0" w:color="auto"/>
              <w:bottom w:val="single" w:sz="4" w:space="0" w:color="auto"/>
              <w:right w:val="single" w:sz="4" w:space="0" w:color="auto"/>
            </w:tcBorders>
            <w:shd w:val="clear" w:color="auto" w:fill="auto"/>
            <w:vAlign w:val="center"/>
            <w:hideMark/>
          </w:tcPr>
          <w:p w14:paraId="74612008" w14:textId="77777777" w:rsidR="008470E0" w:rsidRPr="00025B31" w:rsidRDefault="008470E0" w:rsidP="004B4AC2">
            <w:pPr>
              <w:rPr>
                <w:rFonts w:cs="Arial"/>
                <w:sz w:val="20"/>
                <w:u w:val="single"/>
                <w:lang w:eastAsia="en-GB"/>
              </w:rPr>
            </w:pPr>
            <w:r w:rsidRPr="00025B31">
              <w:rPr>
                <w:rFonts w:cs="Arial"/>
                <w:sz w:val="20"/>
                <w:u w:val="single"/>
                <w:lang w:eastAsia="en-GB"/>
              </w:rPr>
              <w:t>Transfer to/(from) reserves:</w:t>
            </w:r>
            <w:r w:rsidRPr="00025B31">
              <w:rPr>
                <w:rFonts w:cs="Arial"/>
                <w:sz w:val="20"/>
                <w:lang w:eastAsia="en-GB"/>
              </w:rPr>
              <w:t> </w:t>
            </w:r>
          </w:p>
          <w:p w14:paraId="4D16B85C"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28416A3D"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540EA1" w14:textId="77777777" w:rsidR="008470E0" w:rsidRPr="00025B31" w:rsidRDefault="008470E0" w:rsidP="004B4AC2">
            <w:pPr>
              <w:rPr>
                <w:rFonts w:cs="Arial"/>
                <w:sz w:val="20"/>
                <w:lang w:eastAsia="en-GB"/>
              </w:rPr>
            </w:pPr>
            <w:r w:rsidRPr="00025B31">
              <w:rPr>
                <w:rFonts w:cs="Arial"/>
                <w:sz w:val="20"/>
                <w:lang w:eastAsia="en-GB"/>
              </w:rPr>
              <w:t>Repairs reserve</w:t>
            </w:r>
          </w:p>
        </w:tc>
        <w:tc>
          <w:tcPr>
            <w:tcW w:w="1134" w:type="dxa"/>
            <w:tcBorders>
              <w:top w:val="nil"/>
              <w:left w:val="nil"/>
              <w:bottom w:val="single" w:sz="4" w:space="0" w:color="auto"/>
              <w:right w:val="single" w:sz="4" w:space="0" w:color="auto"/>
            </w:tcBorders>
            <w:shd w:val="clear" w:color="auto" w:fill="auto"/>
            <w:vAlign w:val="center"/>
            <w:hideMark/>
          </w:tcPr>
          <w:p w14:paraId="3FC236B1" w14:textId="77777777" w:rsidR="008470E0" w:rsidRPr="00025B31" w:rsidRDefault="008470E0" w:rsidP="004B4AC2">
            <w:pPr>
              <w:jc w:val="right"/>
              <w:rPr>
                <w:rFonts w:cs="Arial"/>
                <w:sz w:val="20"/>
                <w:lang w:eastAsia="en-GB"/>
              </w:rPr>
            </w:pPr>
            <w:r w:rsidRPr="00025B31">
              <w:rPr>
                <w:rFonts w:cs="Arial"/>
                <w:sz w:val="20"/>
                <w:lang w:eastAsia="en-GB"/>
              </w:rPr>
              <w:t>114</w:t>
            </w:r>
          </w:p>
        </w:tc>
        <w:tc>
          <w:tcPr>
            <w:tcW w:w="992" w:type="dxa"/>
            <w:tcBorders>
              <w:top w:val="nil"/>
              <w:left w:val="nil"/>
              <w:bottom w:val="single" w:sz="4" w:space="0" w:color="auto"/>
              <w:right w:val="single" w:sz="4" w:space="0" w:color="auto"/>
            </w:tcBorders>
            <w:shd w:val="clear" w:color="auto" w:fill="auto"/>
            <w:vAlign w:val="center"/>
            <w:hideMark/>
          </w:tcPr>
          <w:p w14:paraId="18B8F60D"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993" w:type="dxa"/>
            <w:tcBorders>
              <w:top w:val="nil"/>
              <w:left w:val="nil"/>
              <w:bottom w:val="single" w:sz="4" w:space="0" w:color="auto"/>
              <w:right w:val="single" w:sz="4" w:space="0" w:color="auto"/>
            </w:tcBorders>
            <w:shd w:val="clear" w:color="auto" w:fill="auto"/>
            <w:vAlign w:val="center"/>
            <w:hideMark/>
          </w:tcPr>
          <w:p w14:paraId="0AC40AB9"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1DDBFEF3"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BD07C68"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2361920C"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95726F" w14:textId="77777777" w:rsidR="008470E0" w:rsidRPr="00025B31" w:rsidRDefault="008470E0" w:rsidP="004B4AC2">
            <w:pPr>
              <w:rPr>
                <w:rFonts w:cs="Arial"/>
                <w:sz w:val="20"/>
                <w:lang w:eastAsia="en-GB"/>
              </w:rPr>
            </w:pPr>
            <w:r w:rsidRPr="00025B31">
              <w:rPr>
                <w:rFonts w:cs="Arial"/>
                <w:sz w:val="20"/>
                <w:lang w:eastAsia="en-GB"/>
              </w:rPr>
              <w:t>Transformation reserve</w:t>
            </w:r>
          </w:p>
        </w:tc>
        <w:tc>
          <w:tcPr>
            <w:tcW w:w="1134" w:type="dxa"/>
            <w:tcBorders>
              <w:top w:val="nil"/>
              <w:left w:val="nil"/>
              <w:bottom w:val="single" w:sz="4" w:space="0" w:color="auto"/>
              <w:right w:val="single" w:sz="4" w:space="0" w:color="auto"/>
            </w:tcBorders>
            <w:shd w:val="clear" w:color="auto" w:fill="auto"/>
            <w:vAlign w:val="center"/>
            <w:hideMark/>
          </w:tcPr>
          <w:p w14:paraId="30540915" w14:textId="77777777" w:rsidR="008470E0" w:rsidRPr="00025B31" w:rsidRDefault="008470E0" w:rsidP="004B4AC2">
            <w:pPr>
              <w:jc w:val="right"/>
              <w:rPr>
                <w:rFonts w:cs="Arial"/>
                <w:sz w:val="20"/>
                <w:lang w:eastAsia="en-GB"/>
              </w:rPr>
            </w:pPr>
            <w:r w:rsidRPr="00025B31">
              <w:rPr>
                <w:rFonts w:cs="Arial"/>
                <w:sz w:val="20"/>
                <w:lang w:eastAsia="en-GB"/>
              </w:rPr>
              <w:t>250</w:t>
            </w:r>
          </w:p>
        </w:tc>
        <w:tc>
          <w:tcPr>
            <w:tcW w:w="992" w:type="dxa"/>
            <w:tcBorders>
              <w:top w:val="nil"/>
              <w:left w:val="nil"/>
              <w:bottom w:val="single" w:sz="4" w:space="0" w:color="auto"/>
              <w:right w:val="single" w:sz="4" w:space="0" w:color="auto"/>
            </w:tcBorders>
            <w:shd w:val="clear" w:color="auto" w:fill="auto"/>
            <w:vAlign w:val="center"/>
            <w:hideMark/>
          </w:tcPr>
          <w:p w14:paraId="22ED2EB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0026E6C6"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6F6FF2CC"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34C27725"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E670B4A"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2C9466" w14:textId="77777777" w:rsidR="008470E0" w:rsidRPr="00025B31" w:rsidRDefault="008470E0" w:rsidP="004B4AC2">
            <w:pPr>
              <w:rPr>
                <w:rFonts w:cs="Arial"/>
                <w:sz w:val="20"/>
                <w:lang w:eastAsia="en-GB"/>
              </w:rPr>
            </w:pPr>
            <w:r w:rsidRPr="00025B31">
              <w:rPr>
                <w:rFonts w:cs="Arial"/>
                <w:sz w:val="20"/>
                <w:lang w:eastAsia="en-GB"/>
              </w:rPr>
              <w:t xml:space="preserve">Regeneration Reserve </w:t>
            </w:r>
          </w:p>
        </w:tc>
        <w:tc>
          <w:tcPr>
            <w:tcW w:w="1134" w:type="dxa"/>
            <w:tcBorders>
              <w:top w:val="nil"/>
              <w:left w:val="nil"/>
              <w:bottom w:val="single" w:sz="4" w:space="0" w:color="auto"/>
              <w:right w:val="single" w:sz="4" w:space="0" w:color="auto"/>
            </w:tcBorders>
            <w:shd w:val="clear" w:color="auto" w:fill="auto"/>
            <w:vAlign w:val="center"/>
            <w:hideMark/>
          </w:tcPr>
          <w:p w14:paraId="5645F62E" w14:textId="77777777" w:rsidR="008470E0" w:rsidRPr="00025B31" w:rsidRDefault="008470E0" w:rsidP="004B4AC2">
            <w:pPr>
              <w:jc w:val="right"/>
              <w:rPr>
                <w:rFonts w:cs="Arial"/>
                <w:sz w:val="20"/>
                <w:lang w:eastAsia="en-GB"/>
              </w:rPr>
            </w:pPr>
            <w:r w:rsidRPr="00025B31">
              <w:rPr>
                <w:rFonts w:cs="Arial"/>
                <w:sz w:val="20"/>
                <w:lang w:eastAsia="en-GB"/>
              </w:rPr>
              <w:t>550</w:t>
            </w:r>
          </w:p>
        </w:tc>
        <w:tc>
          <w:tcPr>
            <w:tcW w:w="992" w:type="dxa"/>
            <w:tcBorders>
              <w:top w:val="nil"/>
              <w:left w:val="nil"/>
              <w:bottom w:val="single" w:sz="4" w:space="0" w:color="auto"/>
              <w:right w:val="single" w:sz="4" w:space="0" w:color="auto"/>
            </w:tcBorders>
            <w:shd w:val="clear" w:color="auto" w:fill="auto"/>
            <w:vAlign w:val="center"/>
            <w:hideMark/>
          </w:tcPr>
          <w:p w14:paraId="5502168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4C28293D"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3BC2F954"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41E3E222"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1EB3159"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2290707"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AFF55A8" w14:textId="77777777" w:rsidR="008470E0" w:rsidRPr="00025B31" w:rsidRDefault="008470E0" w:rsidP="004B4AC2">
            <w:pPr>
              <w:jc w:val="right"/>
              <w:rPr>
                <w:rFonts w:cs="Arial"/>
                <w:sz w:val="20"/>
                <w:lang w:eastAsia="en-GB"/>
              </w:rPr>
            </w:pPr>
          </w:p>
        </w:tc>
        <w:tc>
          <w:tcPr>
            <w:tcW w:w="992" w:type="dxa"/>
            <w:tcBorders>
              <w:top w:val="nil"/>
              <w:left w:val="nil"/>
              <w:bottom w:val="single" w:sz="4" w:space="0" w:color="auto"/>
              <w:right w:val="single" w:sz="4" w:space="0" w:color="auto"/>
            </w:tcBorders>
            <w:shd w:val="clear" w:color="auto" w:fill="auto"/>
            <w:vAlign w:val="center"/>
            <w:hideMark/>
          </w:tcPr>
          <w:p w14:paraId="6085FE1F"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993" w:type="dxa"/>
            <w:tcBorders>
              <w:top w:val="nil"/>
              <w:left w:val="nil"/>
              <w:bottom w:val="single" w:sz="4" w:space="0" w:color="auto"/>
              <w:right w:val="single" w:sz="4" w:space="0" w:color="auto"/>
            </w:tcBorders>
            <w:shd w:val="clear" w:color="auto" w:fill="auto"/>
            <w:vAlign w:val="center"/>
            <w:hideMark/>
          </w:tcPr>
          <w:p w14:paraId="0F72E147"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539177E"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147" w:type="dxa"/>
            <w:tcBorders>
              <w:top w:val="nil"/>
              <w:left w:val="nil"/>
              <w:bottom w:val="single" w:sz="4" w:space="0" w:color="auto"/>
              <w:right w:val="single" w:sz="4" w:space="0" w:color="auto"/>
            </w:tcBorders>
            <w:shd w:val="clear" w:color="auto" w:fill="auto"/>
            <w:vAlign w:val="center"/>
            <w:hideMark/>
          </w:tcPr>
          <w:p w14:paraId="3A47072E"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54AB6AC1"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6D101AB" w14:textId="77777777" w:rsidR="008470E0" w:rsidRPr="00025B31" w:rsidRDefault="008470E0" w:rsidP="004B4AC2">
            <w:pPr>
              <w:rPr>
                <w:rFonts w:cs="Arial"/>
                <w:sz w:val="20"/>
                <w:lang w:eastAsia="en-GB"/>
              </w:rPr>
            </w:pPr>
            <w:r w:rsidRPr="00025B31">
              <w:rPr>
                <w:rFonts w:cs="Arial"/>
                <w:sz w:val="20"/>
                <w:lang w:eastAsia="en-GB"/>
              </w:rPr>
              <w:t>Balance c/</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39CAE5" w14:textId="77777777" w:rsidR="008470E0" w:rsidRPr="00025B31" w:rsidRDefault="008470E0" w:rsidP="004B4AC2">
            <w:pPr>
              <w:jc w:val="right"/>
              <w:rPr>
                <w:rFonts w:cs="Arial"/>
                <w:sz w:val="20"/>
                <w:lang w:eastAsia="en-GB"/>
              </w:rPr>
            </w:pPr>
            <w:r w:rsidRPr="00025B31">
              <w:rPr>
                <w:rFonts w:cs="Arial"/>
                <w:sz w:val="20"/>
                <w:lang w:eastAsia="en-GB"/>
              </w:rPr>
              <w:t>-6,273</w:t>
            </w:r>
          </w:p>
        </w:tc>
        <w:tc>
          <w:tcPr>
            <w:tcW w:w="992" w:type="dxa"/>
            <w:tcBorders>
              <w:top w:val="nil"/>
              <w:left w:val="nil"/>
              <w:bottom w:val="single" w:sz="4" w:space="0" w:color="auto"/>
              <w:right w:val="single" w:sz="4" w:space="0" w:color="auto"/>
            </w:tcBorders>
            <w:shd w:val="clear" w:color="auto" w:fill="auto"/>
            <w:vAlign w:val="center"/>
            <w:hideMark/>
          </w:tcPr>
          <w:p w14:paraId="5329A1DC"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7F33599F"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0022DC2"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1147" w:type="dxa"/>
            <w:tcBorders>
              <w:top w:val="nil"/>
              <w:left w:val="nil"/>
              <w:bottom w:val="single" w:sz="4" w:space="0" w:color="auto"/>
              <w:right w:val="single" w:sz="4" w:space="0" w:color="auto"/>
            </w:tcBorders>
            <w:shd w:val="clear" w:color="auto" w:fill="auto"/>
            <w:vAlign w:val="center"/>
            <w:hideMark/>
          </w:tcPr>
          <w:p w14:paraId="1EA25534" w14:textId="77777777" w:rsidR="008470E0" w:rsidRPr="00025B31" w:rsidRDefault="008470E0" w:rsidP="004B4AC2">
            <w:pPr>
              <w:jc w:val="right"/>
              <w:rPr>
                <w:rFonts w:cs="Arial"/>
                <w:sz w:val="20"/>
                <w:lang w:eastAsia="en-GB"/>
              </w:rPr>
            </w:pPr>
            <w:r w:rsidRPr="00025B31">
              <w:rPr>
                <w:rFonts w:cs="Arial"/>
                <w:sz w:val="20"/>
                <w:lang w:eastAsia="en-GB"/>
              </w:rPr>
              <w:t>0</w:t>
            </w:r>
          </w:p>
        </w:tc>
      </w:tr>
    </w:tbl>
    <w:p w14:paraId="78C96857" w14:textId="77777777" w:rsidR="008470E0" w:rsidRDefault="008470E0" w:rsidP="008470E0">
      <w:pPr>
        <w:ind w:firstLine="567"/>
        <w:jc w:val="both"/>
        <w:rPr>
          <w:rFonts w:cs="Arial"/>
          <w:b/>
          <w:bCs/>
          <w:szCs w:val="24"/>
        </w:rPr>
      </w:pPr>
    </w:p>
    <w:p w14:paraId="46A800CF" w14:textId="665C2A23" w:rsidR="008470E0" w:rsidRPr="00562CE9" w:rsidRDefault="008470E0" w:rsidP="008470E0">
      <w:pPr>
        <w:ind w:firstLine="567"/>
        <w:jc w:val="both"/>
        <w:rPr>
          <w:rFonts w:cs="Arial"/>
        </w:rPr>
      </w:pPr>
      <w:r w:rsidRPr="00562CE9">
        <w:rPr>
          <w:rFonts w:cs="Arial"/>
          <w:b/>
          <w:bCs/>
          <w:szCs w:val="24"/>
        </w:rPr>
        <w:t xml:space="preserve">CORPORATE AND TECHNICAL </w:t>
      </w:r>
    </w:p>
    <w:p w14:paraId="3633CFE7" w14:textId="77777777" w:rsidR="008470E0" w:rsidRPr="00562CE9" w:rsidRDefault="008470E0" w:rsidP="008470E0">
      <w:pPr>
        <w:pStyle w:val="ListParagraph"/>
        <w:rPr>
          <w:rFonts w:cs="Arial"/>
          <w:szCs w:val="24"/>
        </w:rPr>
      </w:pPr>
    </w:p>
    <w:p w14:paraId="7CBBAE6D" w14:textId="77777777" w:rsidR="008470E0" w:rsidRPr="00562CE9" w:rsidRDefault="008470E0" w:rsidP="008470E0">
      <w:pPr>
        <w:pStyle w:val="ListParagraph"/>
        <w:numPr>
          <w:ilvl w:val="0"/>
          <w:numId w:val="6"/>
        </w:numPr>
        <w:ind w:left="460" w:hanging="567"/>
        <w:jc w:val="both"/>
        <w:rPr>
          <w:rFonts w:cs="Arial"/>
          <w:b/>
          <w:bCs/>
        </w:rPr>
      </w:pPr>
      <w:r w:rsidRPr="00562CE9">
        <w:rPr>
          <w:rFonts w:cs="Arial"/>
          <w:szCs w:val="24"/>
        </w:rPr>
        <w:t xml:space="preserve">As at Q1 the forecast for the </w:t>
      </w:r>
      <w:r w:rsidRPr="00562CE9">
        <w:rPr>
          <w:rFonts w:cs="Arial"/>
        </w:rPr>
        <w:t>corporate</w:t>
      </w:r>
      <w:r w:rsidRPr="00562CE9">
        <w:rPr>
          <w:rFonts w:cs="Arial"/>
          <w:bCs/>
          <w:szCs w:val="24"/>
        </w:rPr>
        <w:t xml:space="preserve"> and technical budget is a net underspend of £4.667m</w:t>
      </w:r>
      <w:r w:rsidRPr="00562CE9">
        <w:rPr>
          <w:rFonts w:cs="Arial"/>
          <w:szCs w:val="24"/>
        </w:rPr>
        <w:t xml:space="preserve"> as detailed below. </w:t>
      </w:r>
    </w:p>
    <w:p w14:paraId="471F7FD0" w14:textId="77777777" w:rsidR="008470E0" w:rsidRPr="00562CE9" w:rsidRDefault="008470E0" w:rsidP="008470E0">
      <w:pPr>
        <w:pStyle w:val="ListParagraph"/>
        <w:ind w:left="460"/>
        <w:jc w:val="both"/>
        <w:rPr>
          <w:rFonts w:cs="Arial"/>
          <w:b/>
          <w:bCs/>
        </w:rPr>
      </w:pPr>
    </w:p>
    <w:p w14:paraId="1E771DEA" w14:textId="77777777" w:rsidR="008470E0" w:rsidRPr="00562CE9" w:rsidRDefault="008470E0" w:rsidP="008470E0">
      <w:pPr>
        <w:pStyle w:val="ListParagraph"/>
        <w:ind w:left="460"/>
        <w:jc w:val="both"/>
        <w:rPr>
          <w:rFonts w:cs="Arial"/>
          <w:b/>
          <w:bCs/>
        </w:rPr>
      </w:pPr>
      <w:r>
        <w:rPr>
          <w:rFonts w:cs="Arial"/>
          <w:b/>
          <w:bCs/>
        </w:rPr>
        <w:t>C</w:t>
      </w:r>
      <w:r w:rsidRPr="00562CE9">
        <w:rPr>
          <w:rFonts w:cs="Arial"/>
          <w:b/>
          <w:bCs/>
        </w:rPr>
        <w:t>orporate Items</w:t>
      </w:r>
    </w:p>
    <w:p w14:paraId="5AC35B32" w14:textId="77777777" w:rsidR="008470E0" w:rsidRPr="00562CE9" w:rsidRDefault="008470E0" w:rsidP="008470E0">
      <w:pPr>
        <w:pStyle w:val="ListParagraph"/>
        <w:ind w:left="567"/>
        <w:jc w:val="both"/>
        <w:rPr>
          <w:rFonts w:cs="Arial"/>
          <w:bCs/>
          <w:szCs w:val="24"/>
        </w:rPr>
      </w:pPr>
    </w:p>
    <w:p w14:paraId="138E680E" w14:textId="77777777" w:rsidR="008470E0" w:rsidRPr="00562CE9" w:rsidRDefault="008470E0" w:rsidP="008470E0">
      <w:pPr>
        <w:pStyle w:val="ListParagraph"/>
        <w:numPr>
          <w:ilvl w:val="0"/>
          <w:numId w:val="6"/>
        </w:numPr>
        <w:ind w:left="460" w:hanging="567"/>
        <w:jc w:val="both"/>
        <w:rPr>
          <w:rFonts w:cs="Arial"/>
          <w:b/>
          <w:bCs/>
        </w:rPr>
      </w:pPr>
      <w:r w:rsidRPr="00562CE9">
        <w:rPr>
          <w:rFonts w:cs="Arial"/>
          <w:szCs w:val="24"/>
        </w:rPr>
        <w:t>As at Q1 the forecast for corporate items is a net overspend of £80k. This is due to increased costs related to the coroner’s court.</w:t>
      </w:r>
    </w:p>
    <w:p w14:paraId="593AA139" w14:textId="77777777" w:rsidR="008470E0" w:rsidRPr="00562CE9" w:rsidRDefault="008470E0" w:rsidP="008470E0">
      <w:pPr>
        <w:pStyle w:val="ListParagraph"/>
        <w:rPr>
          <w:rFonts w:cs="Arial"/>
          <w:b/>
          <w:bCs/>
        </w:rPr>
      </w:pPr>
    </w:p>
    <w:p w14:paraId="3947F421" w14:textId="77777777" w:rsidR="008470E0" w:rsidRPr="00562CE9" w:rsidRDefault="008470E0" w:rsidP="008470E0">
      <w:pPr>
        <w:pStyle w:val="ListParagraph"/>
        <w:ind w:left="460"/>
        <w:jc w:val="both"/>
        <w:rPr>
          <w:rFonts w:cs="Arial"/>
          <w:b/>
          <w:bCs/>
        </w:rPr>
      </w:pPr>
      <w:bookmarkStart w:id="5" w:name="_Hlk81913776"/>
      <w:r w:rsidRPr="00562CE9">
        <w:rPr>
          <w:rFonts w:cs="Arial"/>
          <w:b/>
          <w:bCs/>
        </w:rPr>
        <w:t>Investment Properties</w:t>
      </w:r>
    </w:p>
    <w:p w14:paraId="186D6976" w14:textId="77777777" w:rsidR="008470E0" w:rsidRPr="00562CE9" w:rsidRDefault="008470E0" w:rsidP="008470E0">
      <w:pPr>
        <w:pStyle w:val="ListParagraph"/>
        <w:rPr>
          <w:rFonts w:cs="Arial"/>
          <w:b/>
          <w:bCs/>
        </w:rPr>
      </w:pPr>
    </w:p>
    <w:p w14:paraId="387394AE" w14:textId="77777777" w:rsidR="008470E0" w:rsidRPr="00562CE9" w:rsidRDefault="008470E0" w:rsidP="008470E0">
      <w:pPr>
        <w:pStyle w:val="ListParagraph"/>
        <w:numPr>
          <w:ilvl w:val="0"/>
          <w:numId w:val="6"/>
        </w:numPr>
        <w:ind w:left="460" w:hanging="567"/>
        <w:jc w:val="both"/>
        <w:rPr>
          <w:rFonts w:cs="Arial"/>
          <w:b/>
          <w:bCs/>
        </w:rPr>
      </w:pPr>
      <w:r w:rsidRPr="00562CE9">
        <w:rPr>
          <w:rFonts w:cs="Arial"/>
        </w:rPr>
        <w:t>As at Q1 the forecast for investment properties is a net overspend of £80k. This is due to vacant space which results in loss of rental income.</w:t>
      </w:r>
    </w:p>
    <w:p w14:paraId="451BB59F" w14:textId="77777777" w:rsidR="008470E0" w:rsidRPr="00562CE9" w:rsidRDefault="008470E0" w:rsidP="008470E0">
      <w:pPr>
        <w:pStyle w:val="ListParagraph"/>
        <w:rPr>
          <w:rFonts w:cs="Arial"/>
          <w:b/>
          <w:bCs/>
        </w:rPr>
      </w:pPr>
    </w:p>
    <w:p w14:paraId="53136981"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 xml:space="preserve">From 2015 to 2019 the Council acquired seven investment properties at a cost of £48.2m. The portfolio consists of warehouses and other commercial and residential properties across the UK, as well as an office block in Harrow. </w:t>
      </w:r>
    </w:p>
    <w:p w14:paraId="2AC3646A" w14:textId="77777777" w:rsidR="008470E0" w:rsidRPr="00562CE9" w:rsidRDefault="008470E0" w:rsidP="008470E0">
      <w:pPr>
        <w:pStyle w:val="ListParagraph"/>
        <w:ind w:left="460"/>
        <w:jc w:val="both"/>
        <w:rPr>
          <w:rFonts w:cs="Arial"/>
          <w:szCs w:val="24"/>
          <w:lang w:val="en-US"/>
        </w:rPr>
      </w:pPr>
    </w:p>
    <w:p w14:paraId="24EFF53A"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249F66D2" w14:textId="77777777" w:rsidR="008470E0" w:rsidRPr="00562CE9" w:rsidRDefault="008470E0" w:rsidP="008470E0">
      <w:pPr>
        <w:pStyle w:val="ListParagraph"/>
        <w:rPr>
          <w:rFonts w:cs="Arial"/>
        </w:rPr>
      </w:pPr>
    </w:p>
    <w:p w14:paraId="12385B5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projected return from all but Kings House is currently on target despite COVID-19. There is vacant space in Kings House – part of the 3</w:t>
      </w:r>
      <w:r w:rsidRPr="00562CE9">
        <w:rPr>
          <w:rFonts w:cs="Arial"/>
          <w:vertAlign w:val="superscript"/>
        </w:rPr>
        <w:t>rd</w:t>
      </w:r>
      <w:r w:rsidRPr="00562CE9">
        <w:rPr>
          <w:rFonts w:cs="Arial"/>
        </w:rPr>
        <w:t xml:space="preserve"> floor has been vacant since acquisition and the remainder of the 3</w:t>
      </w:r>
      <w:r w:rsidRPr="00562CE9">
        <w:rPr>
          <w:rFonts w:cs="Arial"/>
          <w:vertAlign w:val="superscript"/>
        </w:rPr>
        <w:t>rd</w:t>
      </w:r>
      <w:r w:rsidRPr="00562CE9">
        <w:rPr>
          <w:rFonts w:cs="Arial"/>
        </w:rPr>
        <w:t xml:space="preserve"> floor became vacant in December 2020. This results in loss of rental receipts and the additional cost such as business rates and service charges which falls back to the council.</w:t>
      </w:r>
    </w:p>
    <w:p w14:paraId="1714ABF1" w14:textId="77777777" w:rsidR="008470E0" w:rsidRPr="00562CE9" w:rsidRDefault="008470E0" w:rsidP="008470E0">
      <w:pPr>
        <w:pStyle w:val="ListParagraph"/>
        <w:rPr>
          <w:rFonts w:cs="Arial"/>
        </w:rPr>
      </w:pPr>
    </w:p>
    <w:p w14:paraId="0F14EAC9"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annual estimated impact of vacant space at Kings House in 2021/22 is a loss of rental income of £395k.</w:t>
      </w:r>
      <w:r>
        <w:rPr>
          <w:rFonts w:cs="Arial"/>
        </w:rPr>
        <w:t xml:space="preserve"> This is partly offset by earlier investment purchases achieving returns over and above their target hence the overall investment property pressure is forecast at £80k. </w:t>
      </w:r>
    </w:p>
    <w:p w14:paraId="307FD745" w14:textId="77777777" w:rsidR="008470E0" w:rsidRPr="00562CE9" w:rsidRDefault="008470E0" w:rsidP="008470E0">
      <w:pPr>
        <w:pStyle w:val="ListParagraph"/>
        <w:rPr>
          <w:rFonts w:cs="Arial"/>
        </w:rPr>
      </w:pPr>
    </w:p>
    <w:p w14:paraId="3372390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If this pressure materialises the council can call on the investment property reserve to mitigate this.</w:t>
      </w:r>
    </w:p>
    <w:p w14:paraId="4002758B" w14:textId="77777777" w:rsidR="008470E0" w:rsidRPr="00A576F8" w:rsidRDefault="008470E0" w:rsidP="008470E0">
      <w:pPr>
        <w:pStyle w:val="ListParagraph"/>
        <w:ind w:left="460"/>
        <w:jc w:val="both"/>
        <w:rPr>
          <w:rFonts w:cs="Arial"/>
          <w:b/>
          <w:bCs/>
          <w:color w:val="FF0000"/>
        </w:rPr>
      </w:pPr>
    </w:p>
    <w:bookmarkEnd w:id="5"/>
    <w:p w14:paraId="39643195" w14:textId="77777777" w:rsidR="008470E0" w:rsidRPr="00E81AC5" w:rsidRDefault="008470E0" w:rsidP="008470E0">
      <w:pPr>
        <w:pStyle w:val="ListParagraph"/>
        <w:tabs>
          <w:tab w:val="left" w:pos="1276"/>
        </w:tabs>
        <w:ind w:left="1134" w:hanging="567"/>
        <w:jc w:val="both"/>
        <w:rPr>
          <w:rFonts w:cs="Arial"/>
          <w:b/>
          <w:szCs w:val="24"/>
          <w:lang w:val="en-US"/>
        </w:rPr>
      </w:pPr>
      <w:r>
        <w:rPr>
          <w:rFonts w:cs="Arial"/>
          <w:b/>
          <w:szCs w:val="24"/>
        </w:rPr>
        <w:t>Transformation Savings</w:t>
      </w:r>
    </w:p>
    <w:p w14:paraId="53CF0409" w14:textId="77777777" w:rsidR="008470E0" w:rsidRPr="00E81AC5" w:rsidRDefault="008470E0" w:rsidP="008470E0">
      <w:pPr>
        <w:pStyle w:val="ListParagraph"/>
        <w:tabs>
          <w:tab w:val="left" w:pos="142"/>
        </w:tabs>
        <w:ind w:left="567"/>
        <w:jc w:val="both"/>
        <w:rPr>
          <w:rFonts w:cs="Arial"/>
        </w:rPr>
      </w:pPr>
    </w:p>
    <w:p w14:paraId="47DA9E1E" w14:textId="77777777" w:rsidR="008470E0" w:rsidRPr="00B636E3" w:rsidRDefault="008470E0" w:rsidP="008470E0">
      <w:pPr>
        <w:pStyle w:val="ListParagraph"/>
        <w:numPr>
          <w:ilvl w:val="0"/>
          <w:numId w:val="6"/>
        </w:numPr>
        <w:ind w:left="460" w:hanging="567"/>
        <w:jc w:val="both"/>
        <w:rPr>
          <w:rFonts w:cs="Arial"/>
        </w:rPr>
      </w:pPr>
      <w:bookmarkStart w:id="6" w:name="_Hlk81914961"/>
      <w:r>
        <w:rPr>
          <w:rFonts w:cs="Arial"/>
          <w:bCs/>
          <w:szCs w:val="24"/>
        </w:rPr>
        <w:t>As at Q1 the transformation savings target of £1m is reporting an adverse variance as the target will not be met.</w:t>
      </w:r>
    </w:p>
    <w:bookmarkEnd w:id="6"/>
    <w:p w14:paraId="28F0BE5D" w14:textId="77777777" w:rsidR="008470E0" w:rsidRDefault="008470E0" w:rsidP="008470E0">
      <w:pPr>
        <w:pStyle w:val="ListParagraph"/>
        <w:ind w:left="1418"/>
        <w:jc w:val="both"/>
        <w:rPr>
          <w:rFonts w:cs="Arial"/>
          <w:bCs/>
          <w:color w:val="FF0000"/>
          <w:szCs w:val="24"/>
        </w:rPr>
      </w:pPr>
    </w:p>
    <w:p w14:paraId="36C3CAFB" w14:textId="77777777" w:rsidR="008470E0" w:rsidRPr="00E81AC5" w:rsidRDefault="008470E0" w:rsidP="008470E0">
      <w:pPr>
        <w:pStyle w:val="ListParagraph"/>
        <w:tabs>
          <w:tab w:val="left" w:pos="1276"/>
        </w:tabs>
        <w:ind w:left="1134" w:hanging="567"/>
        <w:jc w:val="both"/>
        <w:rPr>
          <w:rFonts w:cs="Arial"/>
          <w:b/>
          <w:szCs w:val="24"/>
          <w:lang w:val="en-US"/>
        </w:rPr>
      </w:pPr>
      <w:r w:rsidRPr="00E81AC5">
        <w:rPr>
          <w:rFonts w:cs="Arial"/>
          <w:b/>
          <w:szCs w:val="24"/>
        </w:rPr>
        <w:t>Covid-19 Grants &amp; Income</w:t>
      </w:r>
    </w:p>
    <w:p w14:paraId="104EC6D1" w14:textId="77777777" w:rsidR="008470E0" w:rsidRPr="00E81AC5" w:rsidRDefault="008470E0" w:rsidP="008470E0">
      <w:pPr>
        <w:pStyle w:val="ListParagraph"/>
        <w:tabs>
          <w:tab w:val="left" w:pos="142"/>
        </w:tabs>
        <w:ind w:left="567"/>
        <w:jc w:val="both"/>
        <w:rPr>
          <w:rFonts w:cs="Arial"/>
        </w:rPr>
      </w:pPr>
    </w:p>
    <w:p w14:paraId="392E0C47" w14:textId="77777777" w:rsidR="008470E0" w:rsidRPr="00442B56" w:rsidRDefault="008470E0" w:rsidP="008470E0">
      <w:pPr>
        <w:pStyle w:val="ListParagraph"/>
        <w:numPr>
          <w:ilvl w:val="0"/>
          <w:numId w:val="6"/>
        </w:numPr>
        <w:ind w:left="460" w:hanging="567"/>
        <w:jc w:val="both"/>
        <w:rPr>
          <w:rFonts w:cs="Arial"/>
        </w:rPr>
      </w:pPr>
      <w:r w:rsidRPr="00E81AC5">
        <w:rPr>
          <w:rFonts w:cs="Arial"/>
          <w:bCs/>
          <w:szCs w:val="24"/>
        </w:rPr>
        <w:t xml:space="preserve">In 2021/22 the council </w:t>
      </w:r>
      <w:r>
        <w:rPr>
          <w:rFonts w:cs="Arial"/>
          <w:bCs/>
          <w:szCs w:val="24"/>
        </w:rPr>
        <w:t>will receive</w:t>
      </w:r>
      <w:r w:rsidRPr="00E81AC5">
        <w:rPr>
          <w:rFonts w:cs="Arial"/>
          <w:bCs/>
          <w:szCs w:val="24"/>
        </w:rPr>
        <w:t xml:space="preserve"> the following Covid-19 grants and income</w:t>
      </w:r>
      <w:r>
        <w:rPr>
          <w:rFonts w:cs="Arial"/>
          <w:bCs/>
          <w:szCs w:val="24"/>
        </w:rPr>
        <w:t xml:space="preserve"> as shown at Table 3</w:t>
      </w:r>
    </w:p>
    <w:p w14:paraId="47C60772" w14:textId="77777777" w:rsidR="008470E0" w:rsidRDefault="008470E0" w:rsidP="008470E0">
      <w:pPr>
        <w:jc w:val="both"/>
        <w:rPr>
          <w:rFonts w:cs="Arial"/>
        </w:rPr>
      </w:pPr>
    </w:p>
    <w:p w14:paraId="131877EF" w14:textId="77777777" w:rsidR="008470E0" w:rsidRPr="00442B56" w:rsidRDefault="008470E0" w:rsidP="008470E0">
      <w:pPr>
        <w:ind w:left="460"/>
        <w:jc w:val="both"/>
        <w:rPr>
          <w:rFonts w:cs="Arial"/>
          <w:b/>
          <w:bCs/>
          <w:u w:val="single"/>
        </w:rPr>
      </w:pPr>
      <w:r w:rsidRPr="00442B56">
        <w:rPr>
          <w:rFonts w:cs="Arial"/>
          <w:b/>
          <w:bCs/>
          <w:u w:val="single"/>
        </w:rPr>
        <w:t>Table 3 – Covid-19 Grants &amp; Income</w:t>
      </w:r>
    </w:p>
    <w:p w14:paraId="2CBDC54C" w14:textId="77777777" w:rsidR="008470E0" w:rsidRPr="00E81AC5" w:rsidRDefault="008470E0" w:rsidP="008470E0">
      <w:pPr>
        <w:pStyle w:val="ListParagraph"/>
        <w:ind w:left="1418"/>
        <w:jc w:val="both"/>
        <w:rPr>
          <w:rFonts w:cs="Arial"/>
          <w:bCs/>
          <w:szCs w:val="24"/>
        </w:rPr>
      </w:pPr>
    </w:p>
    <w:tbl>
      <w:tblPr>
        <w:tblStyle w:val="TableGrid"/>
        <w:tblW w:w="0" w:type="auto"/>
        <w:tblInd w:w="421" w:type="dxa"/>
        <w:tblLook w:val="04A0" w:firstRow="1" w:lastRow="0" w:firstColumn="1" w:lastColumn="0" w:noHBand="0" w:noVBand="1"/>
      </w:tblPr>
      <w:tblGrid>
        <w:gridCol w:w="6656"/>
        <w:gridCol w:w="1222"/>
      </w:tblGrid>
      <w:tr w:rsidR="008470E0" w:rsidRPr="00E81AC5" w14:paraId="43A63053" w14:textId="77777777" w:rsidTr="004B4AC2">
        <w:tc>
          <w:tcPr>
            <w:tcW w:w="7512" w:type="dxa"/>
          </w:tcPr>
          <w:p w14:paraId="0746B44D" w14:textId="77777777" w:rsidR="008470E0" w:rsidRPr="00E81AC5" w:rsidRDefault="008470E0" w:rsidP="004B4AC2">
            <w:pPr>
              <w:pStyle w:val="ListParagraph"/>
              <w:ind w:left="0"/>
              <w:jc w:val="both"/>
              <w:rPr>
                <w:rFonts w:cs="Arial"/>
                <w:b/>
                <w:szCs w:val="24"/>
              </w:rPr>
            </w:pPr>
            <w:r w:rsidRPr="00E81AC5">
              <w:rPr>
                <w:rFonts w:cs="Arial"/>
                <w:b/>
                <w:szCs w:val="24"/>
              </w:rPr>
              <w:t>Description</w:t>
            </w:r>
          </w:p>
        </w:tc>
        <w:tc>
          <w:tcPr>
            <w:tcW w:w="1271" w:type="dxa"/>
          </w:tcPr>
          <w:p w14:paraId="3E7FB096" w14:textId="77777777" w:rsidR="008470E0" w:rsidRPr="00E81AC5" w:rsidRDefault="008470E0" w:rsidP="004B4AC2">
            <w:pPr>
              <w:pStyle w:val="ListParagraph"/>
              <w:ind w:left="0"/>
              <w:jc w:val="right"/>
              <w:rPr>
                <w:rFonts w:cs="Arial"/>
                <w:b/>
                <w:szCs w:val="24"/>
              </w:rPr>
            </w:pPr>
            <w:r w:rsidRPr="00E81AC5">
              <w:rPr>
                <w:rFonts w:cs="Arial"/>
                <w:b/>
                <w:szCs w:val="24"/>
              </w:rPr>
              <w:t>£000</w:t>
            </w:r>
          </w:p>
        </w:tc>
      </w:tr>
      <w:tr w:rsidR="008470E0" w:rsidRPr="00E81AC5" w14:paraId="6B46531F" w14:textId="77777777" w:rsidTr="004B4AC2">
        <w:tc>
          <w:tcPr>
            <w:tcW w:w="7512" w:type="dxa"/>
          </w:tcPr>
          <w:p w14:paraId="5998C514" w14:textId="77777777" w:rsidR="008470E0" w:rsidRPr="00E81AC5" w:rsidRDefault="008470E0" w:rsidP="004B4AC2">
            <w:pPr>
              <w:pStyle w:val="ListParagraph"/>
              <w:ind w:left="0"/>
              <w:jc w:val="both"/>
              <w:rPr>
                <w:rFonts w:cs="Arial"/>
                <w:bCs/>
                <w:szCs w:val="24"/>
              </w:rPr>
            </w:pPr>
            <w:r w:rsidRPr="00E81AC5">
              <w:rPr>
                <w:rFonts w:cs="Arial"/>
                <w:bCs/>
                <w:szCs w:val="24"/>
              </w:rPr>
              <w:t xml:space="preserve">Covid-19 </w:t>
            </w:r>
            <w:r>
              <w:rPr>
                <w:rFonts w:cs="Arial"/>
                <w:bCs/>
                <w:szCs w:val="24"/>
              </w:rPr>
              <w:t>E</w:t>
            </w:r>
            <w:r w:rsidRPr="00E81AC5">
              <w:rPr>
                <w:rFonts w:cs="Arial"/>
                <w:bCs/>
                <w:szCs w:val="24"/>
              </w:rPr>
              <w:t xml:space="preserve">xpenditure </w:t>
            </w:r>
            <w:r>
              <w:rPr>
                <w:rFonts w:cs="Arial"/>
                <w:bCs/>
                <w:szCs w:val="24"/>
              </w:rPr>
              <w:t>P</w:t>
            </w:r>
            <w:r w:rsidRPr="00E81AC5">
              <w:rPr>
                <w:rFonts w:cs="Arial"/>
                <w:bCs/>
                <w:szCs w:val="24"/>
              </w:rPr>
              <w:t xml:space="preserve">ressures </w:t>
            </w:r>
            <w:r>
              <w:rPr>
                <w:rFonts w:cs="Arial"/>
                <w:bCs/>
                <w:szCs w:val="24"/>
              </w:rPr>
              <w:t>G</w:t>
            </w:r>
            <w:r w:rsidRPr="00E81AC5">
              <w:rPr>
                <w:rFonts w:cs="Arial"/>
                <w:bCs/>
                <w:szCs w:val="24"/>
              </w:rPr>
              <w:t>rant 2021/22</w:t>
            </w:r>
          </w:p>
        </w:tc>
        <w:tc>
          <w:tcPr>
            <w:tcW w:w="1271" w:type="dxa"/>
          </w:tcPr>
          <w:p w14:paraId="54CD83CE" w14:textId="77777777" w:rsidR="008470E0" w:rsidRPr="00E81AC5" w:rsidRDefault="008470E0" w:rsidP="004B4AC2">
            <w:pPr>
              <w:pStyle w:val="ListParagraph"/>
              <w:ind w:left="0"/>
              <w:jc w:val="right"/>
              <w:rPr>
                <w:rFonts w:cs="Arial"/>
                <w:bCs/>
                <w:szCs w:val="24"/>
              </w:rPr>
            </w:pPr>
            <w:r w:rsidRPr="00E81AC5">
              <w:rPr>
                <w:rFonts w:cs="Arial"/>
                <w:bCs/>
                <w:szCs w:val="24"/>
              </w:rPr>
              <w:t>6,051</w:t>
            </w:r>
          </w:p>
        </w:tc>
      </w:tr>
      <w:tr w:rsidR="008470E0" w:rsidRPr="00E81AC5" w14:paraId="3C195B4F" w14:textId="77777777" w:rsidTr="004B4AC2">
        <w:tc>
          <w:tcPr>
            <w:tcW w:w="7512" w:type="dxa"/>
          </w:tcPr>
          <w:p w14:paraId="03EFAB93" w14:textId="77777777" w:rsidR="008470E0" w:rsidRPr="00E81AC5" w:rsidRDefault="008470E0" w:rsidP="004B4AC2">
            <w:pPr>
              <w:pStyle w:val="ListParagraph"/>
              <w:ind w:left="0"/>
              <w:jc w:val="both"/>
              <w:rPr>
                <w:rFonts w:cs="Arial"/>
                <w:bCs/>
                <w:szCs w:val="24"/>
              </w:rPr>
            </w:pPr>
            <w:r w:rsidRPr="00E81AC5">
              <w:rPr>
                <w:rFonts w:cs="Arial"/>
                <w:bCs/>
                <w:szCs w:val="24"/>
              </w:rPr>
              <w:t>Controlling Outbreak Management Fund</w:t>
            </w:r>
          </w:p>
        </w:tc>
        <w:tc>
          <w:tcPr>
            <w:tcW w:w="1271" w:type="dxa"/>
          </w:tcPr>
          <w:p w14:paraId="1C95DBAE" w14:textId="77777777" w:rsidR="008470E0" w:rsidRPr="00E81AC5" w:rsidRDefault="008470E0" w:rsidP="004B4AC2">
            <w:pPr>
              <w:pStyle w:val="ListParagraph"/>
              <w:ind w:left="0"/>
              <w:jc w:val="right"/>
              <w:rPr>
                <w:rFonts w:cs="Arial"/>
                <w:bCs/>
                <w:szCs w:val="24"/>
              </w:rPr>
            </w:pPr>
          </w:p>
        </w:tc>
      </w:tr>
      <w:tr w:rsidR="008470E0" w:rsidRPr="00E81AC5" w14:paraId="2508E73F" w14:textId="77777777" w:rsidTr="004B4AC2">
        <w:tc>
          <w:tcPr>
            <w:tcW w:w="7512" w:type="dxa"/>
          </w:tcPr>
          <w:p w14:paraId="33D0A8E9" w14:textId="77777777" w:rsidR="008470E0" w:rsidRPr="00E81AC5" w:rsidRDefault="008470E0" w:rsidP="008470E0">
            <w:pPr>
              <w:pStyle w:val="ListParagraph"/>
              <w:numPr>
                <w:ilvl w:val="0"/>
                <w:numId w:val="16"/>
              </w:numPr>
              <w:jc w:val="both"/>
              <w:rPr>
                <w:rFonts w:cs="Arial"/>
                <w:bCs/>
                <w:szCs w:val="24"/>
              </w:rPr>
            </w:pPr>
            <w:r w:rsidRPr="00E81AC5">
              <w:rPr>
                <w:rFonts w:cs="Arial"/>
                <w:bCs/>
                <w:szCs w:val="24"/>
              </w:rPr>
              <w:t>2020/21 brought forward</w:t>
            </w:r>
          </w:p>
        </w:tc>
        <w:tc>
          <w:tcPr>
            <w:tcW w:w="1271" w:type="dxa"/>
          </w:tcPr>
          <w:p w14:paraId="66ECC9DC" w14:textId="77777777" w:rsidR="008470E0" w:rsidRPr="00E81AC5" w:rsidRDefault="008470E0" w:rsidP="004B4AC2">
            <w:pPr>
              <w:pStyle w:val="ListParagraph"/>
              <w:ind w:left="0"/>
              <w:jc w:val="right"/>
              <w:rPr>
                <w:rFonts w:cs="Arial"/>
                <w:bCs/>
                <w:szCs w:val="24"/>
              </w:rPr>
            </w:pPr>
            <w:r w:rsidRPr="00E81AC5">
              <w:rPr>
                <w:rFonts w:cs="Arial"/>
                <w:bCs/>
                <w:szCs w:val="24"/>
              </w:rPr>
              <w:t>1,503</w:t>
            </w:r>
          </w:p>
        </w:tc>
      </w:tr>
      <w:tr w:rsidR="008470E0" w:rsidRPr="00E81AC5" w14:paraId="736FB204" w14:textId="77777777" w:rsidTr="004B4AC2">
        <w:tc>
          <w:tcPr>
            <w:tcW w:w="7512" w:type="dxa"/>
          </w:tcPr>
          <w:p w14:paraId="619C2C0F" w14:textId="77777777" w:rsidR="008470E0" w:rsidRPr="00E81AC5" w:rsidRDefault="008470E0" w:rsidP="008470E0">
            <w:pPr>
              <w:pStyle w:val="ListParagraph"/>
              <w:numPr>
                <w:ilvl w:val="0"/>
                <w:numId w:val="16"/>
              </w:numPr>
              <w:jc w:val="both"/>
              <w:rPr>
                <w:rFonts w:cs="Arial"/>
                <w:bCs/>
                <w:szCs w:val="24"/>
              </w:rPr>
            </w:pPr>
            <w:r w:rsidRPr="00E81AC5">
              <w:rPr>
                <w:rFonts w:cs="Arial"/>
                <w:bCs/>
                <w:szCs w:val="24"/>
              </w:rPr>
              <w:t>2021/22 allocation</w:t>
            </w:r>
          </w:p>
        </w:tc>
        <w:tc>
          <w:tcPr>
            <w:tcW w:w="1271" w:type="dxa"/>
          </w:tcPr>
          <w:p w14:paraId="3F5322ED" w14:textId="77777777" w:rsidR="008470E0" w:rsidRPr="00E81AC5" w:rsidRDefault="008470E0" w:rsidP="004B4AC2">
            <w:pPr>
              <w:pStyle w:val="ListParagraph"/>
              <w:ind w:left="0"/>
              <w:jc w:val="right"/>
              <w:rPr>
                <w:rFonts w:cs="Arial"/>
                <w:bCs/>
                <w:szCs w:val="24"/>
              </w:rPr>
            </w:pPr>
            <w:r w:rsidRPr="00E81AC5">
              <w:rPr>
                <w:rFonts w:cs="Arial"/>
                <w:bCs/>
                <w:szCs w:val="24"/>
              </w:rPr>
              <w:t>2,100</w:t>
            </w:r>
          </w:p>
        </w:tc>
      </w:tr>
      <w:tr w:rsidR="008470E0" w:rsidRPr="00E81AC5" w14:paraId="35557324" w14:textId="77777777" w:rsidTr="004B4AC2">
        <w:tc>
          <w:tcPr>
            <w:tcW w:w="7512" w:type="dxa"/>
          </w:tcPr>
          <w:p w14:paraId="1F0D2E14" w14:textId="77777777" w:rsidR="008470E0" w:rsidRPr="00E81AC5" w:rsidRDefault="008470E0" w:rsidP="004B4AC2">
            <w:pPr>
              <w:pStyle w:val="ListParagraph"/>
              <w:ind w:left="0"/>
              <w:jc w:val="both"/>
              <w:rPr>
                <w:rFonts w:cs="Arial"/>
                <w:bCs/>
                <w:szCs w:val="24"/>
              </w:rPr>
            </w:pPr>
            <w:r w:rsidRPr="00E81AC5">
              <w:rPr>
                <w:rFonts w:cs="Arial"/>
                <w:bCs/>
                <w:szCs w:val="24"/>
              </w:rPr>
              <w:t>Compensation for loss of sales, fees &amp; charges</w:t>
            </w:r>
          </w:p>
        </w:tc>
        <w:tc>
          <w:tcPr>
            <w:tcW w:w="1271" w:type="dxa"/>
          </w:tcPr>
          <w:p w14:paraId="57AD7B06" w14:textId="77777777" w:rsidR="008470E0" w:rsidRPr="00E81AC5" w:rsidRDefault="008470E0" w:rsidP="004B4AC2">
            <w:pPr>
              <w:pStyle w:val="ListParagraph"/>
              <w:ind w:left="0"/>
              <w:jc w:val="right"/>
              <w:rPr>
                <w:rFonts w:cs="Arial"/>
                <w:bCs/>
                <w:szCs w:val="24"/>
              </w:rPr>
            </w:pPr>
            <w:r w:rsidRPr="00E81AC5">
              <w:rPr>
                <w:rFonts w:cs="Arial"/>
                <w:bCs/>
                <w:szCs w:val="24"/>
              </w:rPr>
              <w:t>700</w:t>
            </w:r>
          </w:p>
        </w:tc>
      </w:tr>
      <w:tr w:rsidR="008470E0" w:rsidRPr="00E81AC5" w14:paraId="121889DA" w14:textId="77777777" w:rsidTr="004B4AC2">
        <w:tc>
          <w:tcPr>
            <w:tcW w:w="7512" w:type="dxa"/>
          </w:tcPr>
          <w:p w14:paraId="2A2EFD61" w14:textId="77777777" w:rsidR="008470E0" w:rsidRPr="00E81AC5" w:rsidRDefault="008470E0" w:rsidP="004B4AC2">
            <w:pPr>
              <w:pStyle w:val="ListParagraph"/>
              <w:ind w:left="0"/>
              <w:jc w:val="both"/>
              <w:rPr>
                <w:rFonts w:cs="Arial"/>
                <w:b/>
                <w:szCs w:val="24"/>
              </w:rPr>
            </w:pPr>
            <w:r w:rsidRPr="00E81AC5">
              <w:rPr>
                <w:rFonts w:cs="Arial"/>
                <w:b/>
                <w:szCs w:val="24"/>
              </w:rPr>
              <w:t>Total Covid-19 grants and income</w:t>
            </w:r>
          </w:p>
        </w:tc>
        <w:tc>
          <w:tcPr>
            <w:tcW w:w="1271" w:type="dxa"/>
          </w:tcPr>
          <w:p w14:paraId="67BB28C9" w14:textId="77777777" w:rsidR="008470E0" w:rsidRPr="00E81AC5" w:rsidRDefault="008470E0" w:rsidP="004B4AC2">
            <w:pPr>
              <w:pStyle w:val="ListParagraph"/>
              <w:ind w:left="0"/>
              <w:jc w:val="right"/>
              <w:rPr>
                <w:rFonts w:cs="Arial"/>
                <w:b/>
                <w:szCs w:val="24"/>
              </w:rPr>
            </w:pPr>
            <w:r w:rsidRPr="00E81AC5">
              <w:rPr>
                <w:rFonts w:cs="Arial"/>
                <w:b/>
                <w:szCs w:val="24"/>
              </w:rPr>
              <w:t>10,354</w:t>
            </w:r>
          </w:p>
        </w:tc>
      </w:tr>
    </w:tbl>
    <w:p w14:paraId="526D3A13" w14:textId="77777777" w:rsidR="008470E0" w:rsidRDefault="008470E0" w:rsidP="008470E0">
      <w:pPr>
        <w:pStyle w:val="ListParagraph"/>
        <w:ind w:left="1418"/>
        <w:jc w:val="both"/>
        <w:rPr>
          <w:rFonts w:cs="Arial"/>
          <w:bCs/>
          <w:color w:val="FF0000"/>
          <w:szCs w:val="24"/>
        </w:rPr>
      </w:pPr>
    </w:p>
    <w:p w14:paraId="4359C87D" w14:textId="77777777" w:rsidR="008470E0" w:rsidRDefault="008470E0" w:rsidP="008470E0">
      <w:pPr>
        <w:jc w:val="both"/>
        <w:rPr>
          <w:rFonts w:cs="Arial"/>
          <w:bCs/>
          <w:color w:val="FF0000"/>
          <w:szCs w:val="24"/>
        </w:rPr>
      </w:pPr>
    </w:p>
    <w:p w14:paraId="666D383A" w14:textId="77777777" w:rsidR="008470E0" w:rsidRPr="00EC589B" w:rsidRDefault="008470E0" w:rsidP="008470E0">
      <w:pPr>
        <w:pStyle w:val="ListParagraph"/>
        <w:numPr>
          <w:ilvl w:val="0"/>
          <w:numId w:val="6"/>
        </w:numPr>
        <w:ind w:left="460" w:hanging="567"/>
        <w:jc w:val="both"/>
        <w:rPr>
          <w:rFonts w:cs="Arial"/>
        </w:rPr>
      </w:pPr>
      <w:r>
        <w:rPr>
          <w:rFonts w:cs="Arial"/>
          <w:bCs/>
          <w:szCs w:val="24"/>
        </w:rPr>
        <w:t xml:space="preserve">The Covid-19 Expenditure Pressures Grant 2021/22 allocation of £6.051m was included in the overall 2021/22 budget on a one-off basis. Compensation for loss of sales, fees &amp; charges was also included in the budget on a one-off basis but at an estimated lower value of £500k. </w:t>
      </w:r>
    </w:p>
    <w:p w14:paraId="0712FA97" w14:textId="77777777" w:rsidR="008470E0" w:rsidRPr="00B93D14" w:rsidRDefault="008470E0" w:rsidP="008470E0">
      <w:pPr>
        <w:pStyle w:val="ListParagraph"/>
        <w:ind w:left="460"/>
        <w:jc w:val="both"/>
        <w:rPr>
          <w:rFonts w:cs="Arial"/>
        </w:rPr>
      </w:pPr>
    </w:p>
    <w:p w14:paraId="7E242D72" w14:textId="36C6D6B9" w:rsidR="008470E0" w:rsidRPr="00B93D14" w:rsidRDefault="008470E0" w:rsidP="008470E0">
      <w:pPr>
        <w:pStyle w:val="ListParagraph"/>
        <w:numPr>
          <w:ilvl w:val="0"/>
          <w:numId w:val="6"/>
        </w:numPr>
        <w:ind w:left="460" w:hanging="567"/>
        <w:jc w:val="both"/>
        <w:rPr>
          <w:rFonts w:cs="Arial"/>
        </w:rPr>
      </w:pPr>
      <w:r>
        <w:rPr>
          <w:rFonts w:cs="Arial"/>
          <w:bCs/>
          <w:szCs w:val="24"/>
        </w:rPr>
        <w:t xml:space="preserve">Both COMF allocations have been earmarked to additional expenditure within the directorates including enhanced cleaning, fire risk assessments, communications, Covid-19 marshals and other COMF relevant activities. </w:t>
      </w:r>
    </w:p>
    <w:p w14:paraId="4CF07044" w14:textId="77777777" w:rsidR="008470E0" w:rsidRPr="00A576F8" w:rsidRDefault="008470E0" w:rsidP="008470E0">
      <w:pPr>
        <w:pStyle w:val="ListParagraph"/>
        <w:ind w:left="1418"/>
        <w:jc w:val="both"/>
        <w:rPr>
          <w:rFonts w:cs="Arial"/>
          <w:bCs/>
          <w:color w:val="FF0000"/>
          <w:szCs w:val="24"/>
        </w:rPr>
      </w:pPr>
    </w:p>
    <w:p w14:paraId="3F0FB24D" w14:textId="3D871E6C" w:rsidR="008470E0" w:rsidRPr="001D7C6C" w:rsidRDefault="008470E0" w:rsidP="008470E0">
      <w:pPr>
        <w:pStyle w:val="ListParagraph"/>
        <w:tabs>
          <w:tab w:val="left" w:pos="1276"/>
        </w:tabs>
        <w:ind w:left="1134" w:hanging="567"/>
        <w:jc w:val="both"/>
        <w:rPr>
          <w:rFonts w:cs="Arial"/>
          <w:b/>
          <w:szCs w:val="24"/>
          <w:lang w:val="en-US"/>
        </w:rPr>
      </w:pPr>
      <w:r w:rsidRPr="001D7C6C">
        <w:rPr>
          <w:rFonts w:cs="Arial"/>
          <w:b/>
          <w:szCs w:val="24"/>
        </w:rPr>
        <w:t>Central Contingency</w:t>
      </w:r>
    </w:p>
    <w:p w14:paraId="58380665" w14:textId="77777777" w:rsidR="008470E0" w:rsidRPr="001D7C6C" w:rsidRDefault="008470E0" w:rsidP="008470E0">
      <w:pPr>
        <w:pStyle w:val="ListParagraph"/>
        <w:tabs>
          <w:tab w:val="left" w:pos="142"/>
        </w:tabs>
        <w:ind w:left="567"/>
        <w:jc w:val="both"/>
        <w:rPr>
          <w:rFonts w:cs="Arial"/>
        </w:rPr>
      </w:pPr>
    </w:p>
    <w:p w14:paraId="785A2309" w14:textId="77777777" w:rsidR="008470E0" w:rsidRPr="001D7C6C" w:rsidRDefault="008470E0" w:rsidP="008470E0">
      <w:pPr>
        <w:pStyle w:val="ListParagraph"/>
        <w:numPr>
          <w:ilvl w:val="0"/>
          <w:numId w:val="6"/>
        </w:numPr>
        <w:ind w:left="460" w:hanging="567"/>
        <w:jc w:val="both"/>
        <w:rPr>
          <w:rFonts w:cs="Arial"/>
        </w:rPr>
      </w:pPr>
      <w:r w:rsidRPr="001D7C6C">
        <w:rPr>
          <w:rFonts w:cs="Arial"/>
          <w:bCs/>
          <w:szCs w:val="24"/>
        </w:rPr>
        <w:t xml:space="preserve">The </w:t>
      </w:r>
      <w:r w:rsidRPr="001D7C6C">
        <w:rPr>
          <w:rFonts w:cs="Arial"/>
        </w:rPr>
        <w:t xml:space="preserve">central contingency of £1.248m was not required and therefore there is an underspend against this budget.  </w:t>
      </w:r>
    </w:p>
    <w:p w14:paraId="34FF0203" w14:textId="77777777" w:rsidR="008470E0" w:rsidRPr="00A576F8" w:rsidRDefault="008470E0" w:rsidP="008470E0">
      <w:pPr>
        <w:pStyle w:val="ListParagraph"/>
        <w:ind w:left="709" w:hanging="142"/>
        <w:jc w:val="both"/>
        <w:rPr>
          <w:rFonts w:cs="Arial"/>
          <w:b/>
          <w:bCs/>
          <w:color w:val="FF0000"/>
        </w:rPr>
      </w:pPr>
    </w:p>
    <w:p w14:paraId="35FCFCBD" w14:textId="77777777" w:rsidR="008470E0" w:rsidRPr="00E203AA" w:rsidRDefault="008470E0" w:rsidP="008470E0">
      <w:pPr>
        <w:pStyle w:val="ListParagraph"/>
        <w:ind w:left="709" w:hanging="142"/>
        <w:jc w:val="both"/>
        <w:rPr>
          <w:rFonts w:cs="Arial"/>
          <w:b/>
          <w:bCs/>
        </w:rPr>
      </w:pPr>
      <w:r w:rsidRPr="00E203AA">
        <w:rPr>
          <w:rFonts w:cs="Arial"/>
          <w:b/>
          <w:bCs/>
        </w:rPr>
        <w:t>Technical and Corporate Adjustments</w:t>
      </w:r>
    </w:p>
    <w:p w14:paraId="4578BBB9" w14:textId="77777777" w:rsidR="008470E0" w:rsidRPr="00E203AA" w:rsidRDefault="008470E0" w:rsidP="008470E0">
      <w:pPr>
        <w:pStyle w:val="ListParagraph"/>
        <w:ind w:left="567"/>
        <w:jc w:val="both"/>
        <w:rPr>
          <w:rFonts w:cs="Arial"/>
        </w:rPr>
      </w:pPr>
    </w:p>
    <w:p w14:paraId="43C6729C" w14:textId="77777777" w:rsidR="008470E0" w:rsidRPr="00A576F8" w:rsidRDefault="008470E0" w:rsidP="008470E0">
      <w:pPr>
        <w:pStyle w:val="ListParagraph"/>
        <w:numPr>
          <w:ilvl w:val="0"/>
          <w:numId w:val="6"/>
        </w:numPr>
        <w:ind w:left="460" w:hanging="567"/>
        <w:jc w:val="both"/>
        <w:rPr>
          <w:rFonts w:cs="Arial"/>
          <w:color w:val="FF0000"/>
        </w:rPr>
      </w:pPr>
      <w:r w:rsidRPr="00E203AA">
        <w:rPr>
          <w:rFonts w:cs="Arial"/>
        </w:rPr>
        <w:t>As at Q1 there is a projected net underspend of £775k in the technical and corporate adjustments budgets</w:t>
      </w:r>
      <w:r>
        <w:rPr>
          <w:rFonts w:cs="Arial"/>
        </w:rPr>
        <w:t xml:space="preserve"> which is primarily an underspend on capital financing costs and interest charges. </w:t>
      </w:r>
    </w:p>
    <w:p w14:paraId="2F27B2AC" w14:textId="77777777" w:rsidR="008470E0" w:rsidRPr="009F2415" w:rsidRDefault="008470E0" w:rsidP="008470E0">
      <w:pPr>
        <w:jc w:val="both"/>
        <w:rPr>
          <w:rFonts w:cs="Arial"/>
        </w:rPr>
      </w:pPr>
    </w:p>
    <w:p w14:paraId="57229C10" w14:textId="77777777" w:rsidR="008470E0" w:rsidRPr="00CF606E" w:rsidRDefault="008470E0" w:rsidP="008470E0">
      <w:pPr>
        <w:ind w:firstLine="567"/>
        <w:jc w:val="both"/>
        <w:rPr>
          <w:rFonts w:cs="Arial"/>
          <w:b/>
          <w:bCs/>
        </w:rPr>
      </w:pPr>
      <w:r w:rsidRPr="00CF606E">
        <w:rPr>
          <w:rFonts w:cs="Arial"/>
          <w:b/>
          <w:bCs/>
        </w:rPr>
        <w:t>RESERVES</w:t>
      </w:r>
    </w:p>
    <w:p w14:paraId="65CA007B" w14:textId="77777777" w:rsidR="008470E0" w:rsidRPr="00CF606E" w:rsidRDefault="008470E0" w:rsidP="008470E0">
      <w:pPr>
        <w:pStyle w:val="ListParagraph"/>
        <w:ind w:left="460"/>
        <w:jc w:val="both"/>
        <w:rPr>
          <w:rFonts w:cs="Arial"/>
        </w:rPr>
      </w:pPr>
    </w:p>
    <w:p w14:paraId="11815364" w14:textId="77777777" w:rsidR="008470E0" w:rsidRPr="00F97182" w:rsidRDefault="008470E0" w:rsidP="008470E0">
      <w:pPr>
        <w:pStyle w:val="ListParagraph"/>
        <w:numPr>
          <w:ilvl w:val="0"/>
          <w:numId w:val="6"/>
        </w:numPr>
        <w:ind w:left="460" w:hanging="567"/>
        <w:jc w:val="both"/>
        <w:rPr>
          <w:rFonts w:cs="Arial"/>
        </w:rPr>
      </w:pPr>
      <w:r w:rsidRPr="00CF606E">
        <w:rPr>
          <w:rFonts w:cs="Arial"/>
        </w:rPr>
        <w:t>Attached at Appendix 2</w:t>
      </w:r>
      <w:r w:rsidRPr="00CF606E">
        <w:rPr>
          <w:rFonts w:cs="Arial"/>
          <w:szCs w:val="24"/>
          <w:lang w:val="en-US"/>
        </w:rPr>
        <w:t xml:space="preserve"> </w:t>
      </w:r>
      <w:r w:rsidRPr="00CF606E">
        <w:rPr>
          <w:rFonts w:cs="Arial"/>
          <w:lang w:val="en-US"/>
        </w:rPr>
        <w:t xml:space="preserve">is a schedule of all the reserves held by the Council.  </w:t>
      </w:r>
    </w:p>
    <w:p w14:paraId="36BD663B" w14:textId="77777777" w:rsidR="008470E0" w:rsidRPr="00E91723" w:rsidRDefault="008470E0" w:rsidP="008470E0">
      <w:pPr>
        <w:pStyle w:val="ListParagraph"/>
        <w:ind w:left="460"/>
        <w:jc w:val="both"/>
        <w:rPr>
          <w:rFonts w:cs="Arial"/>
        </w:rPr>
      </w:pPr>
    </w:p>
    <w:p w14:paraId="4444A85E" w14:textId="77777777" w:rsidR="004B4AC2" w:rsidRDefault="004B4AC2" w:rsidP="008470E0">
      <w:pPr>
        <w:pStyle w:val="ListParagraph"/>
        <w:ind w:left="460"/>
        <w:jc w:val="both"/>
        <w:rPr>
          <w:rFonts w:cs="Arial"/>
          <w:b/>
          <w:bCs/>
        </w:rPr>
      </w:pPr>
    </w:p>
    <w:p w14:paraId="1B07C39F" w14:textId="243299D8" w:rsidR="008470E0" w:rsidRPr="00E91723" w:rsidRDefault="008470E0" w:rsidP="008470E0">
      <w:pPr>
        <w:pStyle w:val="ListParagraph"/>
        <w:ind w:left="460"/>
        <w:jc w:val="both"/>
        <w:rPr>
          <w:rFonts w:cs="Arial"/>
          <w:b/>
          <w:bCs/>
        </w:rPr>
      </w:pPr>
      <w:r w:rsidRPr="00E91723">
        <w:rPr>
          <w:rFonts w:cs="Arial"/>
          <w:b/>
          <w:bCs/>
        </w:rPr>
        <w:t>GRANTS</w:t>
      </w:r>
    </w:p>
    <w:p w14:paraId="13E86A9B" w14:textId="77777777" w:rsidR="008470E0" w:rsidRPr="00E91723" w:rsidRDefault="008470E0" w:rsidP="008470E0">
      <w:pPr>
        <w:pStyle w:val="ListParagraph"/>
        <w:ind w:left="460"/>
        <w:jc w:val="both"/>
        <w:rPr>
          <w:rFonts w:cs="Arial"/>
          <w:b/>
          <w:bCs/>
        </w:rPr>
      </w:pPr>
    </w:p>
    <w:p w14:paraId="564E667E" w14:textId="77777777" w:rsidR="008470E0" w:rsidRPr="00E91723" w:rsidRDefault="008470E0" w:rsidP="008470E0">
      <w:pPr>
        <w:pStyle w:val="ListParagraph"/>
        <w:numPr>
          <w:ilvl w:val="0"/>
          <w:numId w:val="6"/>
        </w:numPr>
        <w:ind w:left="460" w:hanging="567"/>
        <w:jc w:val="both"/>
        <w:rPr>
          <w:rFonts w:cs="Arial"/>
          <w:b/>
          <w:bCs/>
        </w:rPr>
      </w:pPr>
      <w:r w:rsidRPr="00E91723">
        <w:rPr>
          <w:rFonts w:cs="Arial"/>
        </w:rPr>
        <w:t>Attached at Appendix 3 is a schedule of all the grants the Council is anticipating receiving in 2021/22.</w:t>
      </w:r>
    </w:p>
    <w:p w14:paraId="18BED3BB" w14:textId="77777777" w:rsidR="008470E0" w:rsidRPr="00E91723" w:rsidRDefault="008470E0" w:rsidP="008470E0">
      <w:pPr>
        <w:pStyle w:val="ListParagraph"/>
        <w:ind w:left="460"/>
        <w:jc w:val="both"/>
        <w:rPr>
          <w:rFonts w:cs="Arial"/>
        </w:rPr>
      </w:pPr>
    </w:p>
    <w:p w14:paraId="6BCD6C3F" w14:textId="77777777" w:rsidR="008470E0" w:rsidRPr="00E32642" w:rsidRDefault="008470E0" w:rsidP="008470E0">
      <w:pPr>
        <w:pStyle w:val="ListParagraph"/>
        <w:ind w:left="567"/>
        <w:jc w:val="both"/>
        <w:rPr>
          <w:rFonts w:cs="Arial"/>
          <w:b/>
          <w:szCs w:val="24"/>
        </w:rPr>
      </w:pPr>
    </w:p>
    <w:p w14:paraId="42BE9962" w14:textId="77777777" w:rsidR="008470E0" w:rsidRPr="00E32642" w:rsidRDefault="008470E0" w:rsidP="008470E0">
      <w:pPr>
        <w:pStyle w:val="ListParagraph"/>
        <w:ind w:left="567"/>
        <w:jc w:val="both"/>
        <w:rPr>
          <w:rFonts w:cs="Arial"/>
          <w:lang w:val="en-US"/>
        </w:rPr>
      </w:pPr>
      <w:r w:rsidRPr="00E32642">
        <w:rPr>
          <w:rFonts w:cs="Arial"/>
          <w:b/>
          <w:szCs w:val="24"/>
        </w:rPr>
        <w:t>MTFS IMPLEMENTATION TRACKER</w:t>
      </w:r>
    </w:p>
    <w:p w14:paraId="250F1F0B" w14:textId="77777777" w:rsidR="008470E0" w:rsidRPr="00A576F8" w:rsidRDefault="008470E0" w:rsidP="008470E0">
      <w:pPr>
        <w:pStyle w:val="ListParagraph"/>
        <w:jc w:val="both"/>
        <w:rPr>
          <w:rFonts w:cs="Arial"/>
          <w:color w:val="FF0000"/>
          <w:szCs w:val="24"/>
          <w:lang w:val="en-US"/>
        </w:rPr>
      </w:pPr>
    </w:p>
    <w:p w14:paraId="5026A5B0" w14:textId="77777777" w:rsidR="008470E0" w:rsidRPr="00A576F8" w:rsidRDefault="008470E0" w:rsidP="008470E0">
      <w:pPr>
        <w:pStyle w:val="ListParagraph"/>
        <w:ind w:left="460"/>
        <w:jc w:val="both"/>
        <w:rPr>
          <w:rFonts w:cs="Arial"/>
          <w:color w:val="FF0000"/>
          <w:highlight w:val="yellow"/>
        </w:rPr>
      </w:pPr>
    </w:p>
    <w:p w14:paraId="75AF2FB8" w14:textId="77777777" w:rsidR="008470E0" w:rsidRPr="00EC4755" w:rsidRDefault="008470E0" w:rsidP="008470E0">
      <w:pPr>
        <w:pStyle w:val="ListParagraph"/>
        <w:numPr>
          <w:ilvl w:val="0"/>
          <w:numId w:val="6"/>
        </w:numPr>
        <w:ind w:left="460" w:hanging="567"/>
        <w:jc w:val="both"/>
        <w:rPr>
          <w:rFonts w:cs="Arial"/>
          <w:szCs w:val="24"/>
          <w:lang w:val="en-US"/>
        </w:rPr>
      </w:pPr>
      <w:r w:rsidRPr="00E91723">
        <w:rPr>
          <w:rFonts w:cs="Arial"/>
          <w:szCs w:val="24"/>
          <w:lang w:val="en-US"/>
        </w:rPr>
        <w:t xml:space="preserve">The 2021/22 budget includes approved </w:t>
      </w:r>
      <w:r w:rsidRPr="00EC4755">
        <w:rPr>
          <w:rFonts w:cs="Arial"/>
          <w:szCs w:val="24"/>
          <w:lang w:val="en-US"/>
        </w:rPr>
        <w:t>MTFS savings of £3.443m.</w:t>
      </w:r>
    </w:p>
    <w:p w14:paraId="5CC69D6E" w14:textId="77777777" w:rsidR="008470E0" w:rsidRPr="00A576F8" w:rsidRDefault="008470E0" w:rsidP="008470E0">
      <w:pPr>
        <w:pStyle w:val="ListParagraph"/>
        <w:ind w:left="460"/>
        <w:jc w:val="both"/>
        <w:rPr>
          <w:rFonts w:cs="Arial"/>
          <w:color w:val="FF0000"/>
          <w:szCs w:val="24"/>
          <w:lang w:val="en-US"/>
        </w:rPr>
      </w:pPr>
    </w:p>
    <w:p w14:paraId="4A925AE7" w14:textId="77777777" w:rsidR="008470E0" w:rsidRPr="00E91723" w:rsidRDefault="008470E0" w:rsidP="008470E0">
      <w:pPr>
        <w:pStyle w:val="ListParagraph"/>
        <w:numPr>
          <w:ilvl w:val="0"/>
          <w:numId w:val="6"/>
        </w:numPr>
        <w:ind w:left="460" w:hanging="567"/>
        <w:jc w:val="both"/>
        <w:rPr>
          <w:rFonts w:cs="Arial"/>
          <w:szCs w:val="24"/>
          <w:lang w:val="en-US"/>
        </w:rPr>
      </w:pPr>
      <w:r w:rsidRPr="00E91723">
        <w:rPr>
          <w:rFonts w:cs="Arial"/>
          <w:szCs w:val="24"/>
          <w:lang w:val="en-US"/>
        </w:rPr>
        <w:t xml:space="preserve">Attached at Appendix 4 is a schedule of the individual red, amber, green and purple rated savings in the MTFS. The definition used to classify savings ratings in this report are detailed in </w:t>
      </w:r>
      <w:r>
        <w:rPr>
          <w:rFonts w:cs="Arial"/>
          <w:szCs w:val="24"/>
          <w:lang w:val="en-US"/>
        </w:rPr>
        <w:t>T</w:t>
      </w:r>
      <w:r w:rsidRPr="00E91723">
        <w:rPr>
          <w:rFonts w:cs="Arial"/>
          <w:szCs w:val="24"/>
          <w:lang w:val="en-US"/>
        </w:rPr>
        <w:t>able</w:t>
      </w:r>
      <w:r>
        <w:rPr>
          <w:rFonts w:cs="Arial"/>
          <w:szCs w:val="24"/>
          <w:lang w:val="en-US"/>
        </w:rPr>
        <w:t xml:space="preserve"> 4</w:t>
      </w:r>
      <w:r w:rsidRPr="00E91723">
        <w:rPr>
          <w:rFonts w:cs="Arial"/>
          <w:szCs w:val="24"/>
          <w:lang w:val="en-US"/>
        </w:rPr>
        <w:t xml:space="preserve"> below:</w:t>
      </w:r>
    </w:p>
    <w:p w14:paraId="6BB636DE" w14:textId="77777777" w:rsidR="008470E0" w:rsidRPr="00E91723" w:rsidRDefault="008470E0" w:rsidP="008470E0">
      <w:pPr>
        <w:pStyle w:val="ListParagraph"/>
        <w:rPr>
          <w:rFonts w:cs="Arial"/>
          <w:lang w:val="en-US"/>
        </w:rPr>
      </w:pPr>
    </w:p>
    <w:p w14:paraId="4863D284" w14:textId="77777777" w:rsidR="008470E0" w:rsidRPr="00E91723" w:rsidRDefault="008470E0" w:rsidP="008470E0">
      <w:pPr>
        <w:pStyle w:val="ListParagraph"/>
        <w:rPr>
          <w:rFonts w:cs="Arial"/>
          <w:lang w:val="en-US"/>
        </w:rPr>
      </w:pPr>
    </w:p>
    <w:p w14:paraId="388FF323" w14:textId="77777777" w:rsidR="008470E0" w:rsidRPr="00E91723" w:rsidRDefault="008470E0" w:rsidP="008470E0">
      <w:pPr>
        <w:pStyle w:val="ListParagraph"/>
        <w:tabs>
          <w:tab w:val="left" w:pos="709"/>
        </w:tabs>
        <w:ind w:left="567"/>
        <w:jc w:val="both"/>
        <w:rPr>
          <w:rFonts w:cs="Arial"/>
          <w:b/>
          <w:szCs w:val="24"/>
          <w:u w:val="single"/>
          <w:lang w:val="en-US"/>
        </w:rPr>
      </w:pPr>
      <w:r w:rsidRPr="00E91723">
        <w:rPr>
          <w:rFonts w:cs="Arial"/>
          <w:b/>
          <w:szCs w:val="24"/>
          <w:u w:val="single"/>
          <w:lang w:val="en-US"/>
        </w:rPr>
        <w:t xml:space="preserve">Table </w:t>
      </w:r>
      <w:r>
        <w:rPr>
          <w:rFonts w:cs="Arial"/>
          <w:b/>
          <w:szCs w:val="24"/>
          <w:u w:val="single"/>
          <w:lang w:val="en-US"/>
        </w:rPr>
        <w:t>4</w:t>
      </w:r>
      <w:r w:rsidRPr="00E91723">
        <w:rPr>
          <w:rFonts w:cs="Arial"/>
          <w:b/>
          <w:szCs w:val="24"/>
          <w:u w:val="single"/>
          <w:lang w:val="en-US"/>
        </w:rPr>
        <w:t>: Savings Definition</w:t>
      </w:r>
    </w:p>
    <w:p w14:paraId="056F4FBF" w14:textId="77777777" w:rsidR="008470E0" w:rsidRPr="00E91723" w:rsidRDefault="008470E0" w:rsidP="008470E0">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3645"/>
        <w:gridCol w:w="4092"/>
      </w:tblGrid>
      <w:tr w:rsidR="008470E0" w:rsidRPr="00E91723" w14:paraId="71E1F0C5" w14:textId="77777777" w:rsidTr="004B4AC2">
        <w:tc>
          <w:tcPr>
            <w:tcW w:w="4043" w:type="dxa"/>
          </w:tcPr>
          <w:p w14:paraId="1A53178C" w14:textId="77777777" w:rsidR="008470E0" w:rsidRPr="00E91723" w:rsidRDefault="008470E0" w:rsidP="004B4AC2">
            <w:pPr>
              <w:rPr>
                <w:rFonts w:cs="Arial"/>
                <w:sz w:val="22"/>
                <w:szCs w:val="22"/>
              </w:rPr>
            </w:pPr>
            <w:r w:rsidRPr="00E91723">
              <w:rPr>
                <w:rFonts w:cs="Arial"/>
                <w:b/>
                <w:sz w:val="22"/>
                <w:szCs w:val="22"/>
              </w:rPr>
              <w:t>Green</w:t>
            </w:r>
            <w:r w:rsidRPr="00E91723">
              <w:rPr>
                <w:rFonts w:cs="Arial"/>
                <w:sz w:val="22"/>
                <w:szCs w:val="22"/>
              </w:rPr>
              <w:t xml:space="preserve"> – Low or no risk to delivery of savings</w:t>
            </w:r>
          </w:p>
        </w:tc>
        <w:tc>
          <w:tcPr>
            <w:tcW w:w="4599" w:type="dxa"/>
          </w:tcPr>
          <w:p w14:paraId="00BB2271" w14:textId="77777777" w:rsidR="008470E0" w:rsidRPr="00E91723" w:rsidRDefault="008470E0" w:rsidP="004B4AC2">
            <w:pPr>
              <w:rPr>
                <w:rFonts w:cs="Arial"/>
                <w:sz w:val="22"/>
                <w:szCs w:val="22"/>
              </w:rPr>
            </w:pPr>
            <w:r w:rsidRPr="00E91723">
              <w:rPr>
                <w:rFonts w:cs="Arial"/>
                <w:sz w:val="22"/>
                <w:szCs w:val="22"/>
              </w:rPr>
              <w:t>Clear delivery plans in place</w:t>
            </w:r>
          </w:p>
          <w:p w14:paraId="2624EE97" w14:textId="77777777" w:rsidR="008470E0" w:rsidRPr="00E91723" w:rsidRDefault="008470E0" w:rsidP="004B4AC2">
            <w:pPr>
              <w:rPr>
                <w:rFonts w:cs="Arial"/>
                <w:sz w:val="22"/>
                <w:szCs w:val="22"/>
              </w:rPr>
            </w:pPr>
            <w:r w:rsidRPr="00E91723">
              <w:rPr>
                <w:rFonts w:cs="Arial"/>
                <w:sz w:val="22"/>
                <w:szCs w:val="22"/>
              </w:rPr>
              <w:t>Project running to timescale</w:t>
            </w:r>
          </w:p>
        </w:tc>
      </w:tr>
      <w:tr w:rsidR="008470E0" w:rsidRPr="00E91723" w14:paraId="70E11D4D" w14:textId="77777777" w:rsidTr="004B4AC2">
        <w:tc>
          <w:tcPr>
            <w:tcW w:w="4043" w:type="dxa"/>
          </w:tcPr>
          <w:p w14:paraId="03DE99B6" w14:textId="77777777" w:rsidR="008470E0" w:rsidRPr="00E91723" w:rsidRDefault="008470E0" w:rsidP="004B4AC2">
            <w:pPr>
              <w:rPr>
                <w:rFonts w:cs="Arial"/>
                <w:sz w:val="22"/>
                <w:szCs w:val="22"/>
              </w:rPr>
            </w:pPr>
            <w:r w:rsidRPr="00E91723">
              <w:rPr>
                <w:rFonts w:cs="Arial"/>
                <w:b/>
                <w:sz w:val="22"/>
                <w:szCs w:val="22"/>
              </w:rPr>
              <w:t>Amber</w:t>
            </w:r>
            <w:r w:rsidRPr="00E91723">
              <w:rPr>
                <w:rFonts w:cs="Arial"/>
                <w:sz w:val="22"/>
                <w:szCs w:val="22"/>
              </w:rPr>
              <w:t xml:space="preserve"> – Medium/some risk to delivery</w:t>
            </w:r>
          </w:p>
        </w:tc>
        <w:tc>
          <w:tcPr>
            <w:tcW w:w="4599" w:type="dxa"/>
          </w:tcPr>
          <w:p w14:paraId="0DBB98C9" w14:textId="77777777" w:rsidR="008470E0" w:rsidRPr="00E91723" w:rsidRDefault="008470E0" w:rsidP="004B4AC2">
            <w:pPr>
              <w:rPr>
                <w:rFonts w:cs="Arial"/>
                <w:sz w:val="22"/>
                <w:szCs w:val="22"/>
              </w:rPr>
            </w:pPr>
            <w:r w:rsidRPr="00E91723">
              <w:rPr>
                <w:rFonts w:cs="Arial"/>
                <w:sz w:val="22"/>
                <w:szCs w:val="22"/>
              </w:rPr>
              <w:t>Potential for slippage but project will be delivered as originally intended but not within timescale, so saving will not be fully realised</w:t>
            </w:r>
          </w:p>
        </w:tc>
      </w:tr>
      <w:tr w:rsidR="008470E0" w:rsidRPr="00E91723" w14:paraId="38A08CE4" w14:textId="77777777" w:rsidTr="004B4AC2">
        <w:tc>
          <w:tcPr>
            <w:tcW w:w="4043" w:type="dxa"/>
          </w:tcPr>
          <w:p w14:paraId="072DFB5A" w14:textId="77777777" w:rsidR="008470E0" w:rsidRPr="00E91723" w:rsidRDefault="008470E0" w:rsidP="004B4AC2">
            <w:pPr>
              <w:rPr>
                <w:rFonts w:cs="Arial"/>
                <w:sz w:val="22"/>
                <w:szCs w:val="22"/>
              </w:rPr>
            </w:pPr>
            <w:r w:rsidRPr="00E91723">
              <w:rPr>
                <w:rFonts w:cs="Arial"/>
                <w:b/>
                <w:sz w:val="22"/>
                <w:szCs w:val="22"/>
              </w:rPr>
              <w:t>Red</w:t>
            </w:r>
            <w:r w:rsidRPr="00E91723">
              <w:rPr>
                <w:rFonts w:cs="Arial"/>
                <w:sz w:val="22"/>
                <w:szCs w:val="22"/>
              </w:rPr>
              <w:t xml:space="preserve"> – High risk to delivering forecast savings</w:t>
            </w:r>
          </w:p>
        </w:tc>
        <w:tc>
          <w:tcPr>
            <w:tcW w:w="4599" w:type="dxa"/>
          </w:tcPr>
          <w:p w14:paraId="0A106039" w14:textId="77777777" w:rsidR="008470E0" w:rsidRPr="00E91723" w:rsidRDefault="008470E0" w:rsidP="004B4AC2">
            <w:pPr>
              <w:rPr>
                <w:rFonts w:cs="Arial"/>
                <w:sz w:val="22"/>
                <w:szCs w:val="22"/>
              </w:rPr>
            </w:pPr>
            <w:r w:rsidRPr="00E91723">
              <w:rPr>
                <w:rFonts w:cs="Arial"/>
                <w:sz w:val="22"/>
                <w:szCs w:val="22"/>
              </w:rPr>
              <w:t xml:space="preserve">Project may have started but will deliver </w:t>
            </w:r>
            <w:r w:rsidRPr="00E91723">
              <w:rPr>
                <w:rFonts w:cs="Arial"/>
                <w:b/>
                <w:sz w:val="22"/>
                <w:szCs w:val="22"/>
              </w:rPr>
              <w:t xml:space="preserve">no </w:t>
            </w:r>
            <w:r w:rsidRPr="00E91723">
              <w:rPr>
                <w:rFonts w:cs="Arial"/>
                <w:sz w:val="22"/>
                <w:szCs w:val="22"/>
              </w:rPr>
              <w:t>savings in the current financial year</w:t>
            </w:r>
          </w:p>
          <w:p w14:paraId="31482AD9" w14:textId="77777777" w:rsidR="008470E0" w:rsidRPr="00E91723" w:rsidRDefault="008470E0" w:rsidP="004B4AC2">
            <w:pPr>
              <w:rPr>
                <w:rFonts w:cs="Arial"/>
                <w:sz w:val="22"/>
                <w:szCs w:val="22"/>
              </w:rPr>
            </w:pPr>
            <w:r w:rsidRPr="00E91723">
              <w:rPr>
                <w:rFonts w:cs="Arial"/>
                <w:sz w:val="22"/>
                <w:szCs w:val="22"/>
              </w:rPr>
              <w:t>Project cannot be delivered but underspends found elsewhere to mitigate savings.</w:t>
            </w:r>
          </w:p>
        </w:tc>
      </w:tr>
      <w:tr w:rsidR="008470E0" w:rsidRPr="00E91723" w14:paraId="05E8096F" w14:textId="77777777" w:rsidTr="004B4AC2">
        <w:tc>
          <w:tcPr>
            <w:tcW w:w="4043" w:type="dxa"/>
          </w:tcPr>
          <w:p w14:paraId="0249DA4D" w14:textId="77777777" w:rsidR="008470E0" w:rsidRPr="00E91723" w:rsidRDefault="008470E0" w:rsidP="004B4AC2">
            <w:pPr>
              <w:rPr>
                <w:rFonts w:cs="Arial"/>
                <w:b/>
                <w:sz w:val="22"/>
                <w:szCs w:val="22"/>
              </w:rPr>
            </w:pPr>
            <w:r w:rsidRPr="00E91723">
              <w:rPr>
                <w:rFonts w:cs="Arial"/>
                <w:b/>
                <w:sz w:val="22"/>
                <w:szCs w:val="22"/>
              </w:rPr>
              <w:t>Purple</w:t>
            </w:r>
          </w:p>
        </w:tc>
        <w:tc>
          <w:tcPr>
            <w:tcW w:w="4599" w:type="dxa"/>
          </w:tcPr>
          <w:p w14:paraId="66487CC9" w14:textId="77777777" w:rsidR="008470E0" w:rsidRPr="00E91723" w:rsidRDefault="008470E0" w:rsidP="004B4AC2">
            <w:pPr>
              <w:rPr>
                <w:rFonts w:cs="Arial"/>
                <w:sz w:val="22"/>
                <w:szCs w:val="22"/>
              </w:rPr>
            </w:pPr>
            <w:r w:rsidRPr="00E91723">
              <w:rPr>
                <w:rFonts w:cs="Arial"/>
                <w:sz w:val="22"/>
                <w:szCs w:val="22"/>
              </w:rPr>
              <w:t>Future years’ savings</w:t>
            </w:r>
          </w:p>
        </w:tc>
      </w:tr>
    </w:tbl>
    <w:p w14:paraId="31BEACB6" w14:textId="77777777" w:rsidR="008470E0" w:rsidRPr="00A576F8" w:rsidRDefault="008470E0" w:rsidP="008470E0">
      <w:pPr>
        <w:pStyle w:val="ListParagraph"/>
        <w:tabs>
          <w:tab w:val="left" w:pos="709"/>
        </w:tabs>
        <w:ind w:left="567"/>
        <w:jc w:val="both"/>
        <w:rPr>
          <w:rFonts w:cs="Arial"/>
          <w:b/>
          <w:color w:val="FF0000"/>
          <w:szCs w:val="24"/>
          <w:u w:val="single"/>
          <w:lang w:val="en-US"/>
        </w:rPr>
      </w:pPr>
    </w:p>
    <w:p w14:paraId="7AF47D3B" w14:textId="77777777" w:rsidR="008470E0" w:rsidRPr="00442B56" w:rsidRDefault="008470E0" w:rsidP="008470E0">
      <w:pPr>
        <w:pStyle w:val="ListParagraph"/>
        <w:rPr>
          <w:rFonts w:cs="Arial"/>
          <w:szCs w:val="24"/>
          <w:lang w:val="en-US"/>
        </w:rPr>
      </w:pPr>
    </w:p>
    <w:p w14:paraId="10754CB4" w14:textId="77777777" w:rsidR="008470E0" w:rsidRPr="00442B56" w:rsidRDefault="008470E0" w:rsidP="008470E0">
      <w:pPr>
        <w:pStyle w:val="ListParagraph"/>
        <w:numPr>
          <w:ilvl w:val="0"/>
          <w:numId w:val="6"/>
        </w:numPr>
        <w:ind w:left="460" w:hanging="567"/>
        <w:jc w:val="both"/>
        <w:rPr>
          <w:rFonts w:cs="Arial"/>
          <w:b/>
          <w:szCs w:val="24"/>
          <w:u w:val="single"/>
          <w:lang w:val="en-US"/>
        </w:rPr>
      </w:pPr>
      <w:r w:rsidRPr="00442B56">
        <w:rPr>
          <w:rFonts w:cs="Arial"/>
          <w:bCs/>
          <w:szCs w:val="24"/>
        </w:rPr>
        <w:t xml:space="preserve">Table 5 below shows the summarised position for each directorate for 2021/22: </w:t>
      </w:r>
    </w:p>
    <w:p w14:paraId="7F0C4A10" w14:textId="77777777" w:rsidR="008470E0" w:rsidRPr="00442B56" w:rsidRDefault="008470E0" w:rsidP="008470E0">
      <w:pPr>
        <w:pStyle w:val="ListParagraph"/>
        <w:ind w:left="567" w:right="2126"/>
        <w:jc w:val="both"/>
        <w:rPr>
          <w:rFonts w:cs="Arial"/>
          <w:b/>
          <w:szCs w:val="24"/>
          <w:u w:val="single"/>
          <w:lang w:val="en-US"/>
        </w:rPr>
      </w:pPr>
    </w:p>
    <w:p w14:paraId="15823C41" w14:textId="77777777" w:rsidR="008470E0" w:rsidRPr="00442B56" w:rsidRDefault="008470E0" w:rsidP="008470E0">
      <w:pPr>
        <w:pStyle w:val="ListParagraph"/>
        <w:ind w:left="567" w:right="2126"/>
        <w:jc w:val="both"/>
        <w:rPr>
          <w:rFonts w:cs="Arial"/>
          <w:b/>
          <w:szCs w:val="24"/>
          <w:u w:val="single"/>
          <w:lang w:val="en-US"/>
        </w:rPr>
      </w:pPr>
      <w:r w:rsidRPr="00442B56">
        <w:rPr>
          <w:rFonts w:cs="Arial"/>
          <w:b/>
          <w:szCs w:val="24"/>
          <w:u w:val="single"/>
          <w:lang w:val="en-US"/>
        </w:rPr>
        <w:t>Table 5 - Savings Tracker 2021/22 – Directorate Summary</w:t>
      </w:r>
    </w:p>
    <w:p w14:paraId="404E4794" w14:textId="77777777" w:rsidR="008470E0" w:rsidRPr="00A576F8" w:rsidRDefault="008470E0" w:rsidP="008470E0">
      <w:pPr>
        <w:pStyle w:val="ListParagraph"/>
        <w:ind w:left="567" w:right="2126"/>
        <w:jc w:val="both"/>
        <w:rPr>
          <w:rFonts w:cs="Arial"/>
          <w:b/>
          <w:color w:val="FF0000"/>
          <w:szCs w:val="24"/>
          <w:u w:val="single"/>
          <w:lang w:val="en-US"/>
        </w:rPr>
      </w:pPr>
    </w:p>
    <w:tbl>
      <w:tblPr>
        <w:tblStyle w:val="TableGrid"/>
        <w:tblW w:w="8642" w:type="dxa"/>
        <w:tblInd w:w="557" w:type="dxa"/>
        <w:tblLook w:val="04A0" w:firstRow="1" w:lastRow="0" w:firstColumn="1" w:lastColumn="0" w:noHBand="0" w:noVBand="1"/>
      </w:tblPr>
      <w:tblGrid>
        <w:gridCol w:w="1185"/>
        <w:gridCol w:w="1450"/>
        <w:gridCol w:w="1182"/>
        <w:gridCol w:w="1522"/>
        <w:gridCol w:w="1376"/>
        <w:gridCol w:w="1097"/>
        <w:gridCol w:w="830"/>
      </w:tblGrid>
      <w:tr w:rsidR="008470E0" w:rsidRPr="00A576F8" w14:paraId="3EE393CA" w14:textId="77777777" w:rsidTr="004B4AC2">
        <w:tc>
          <w:tcPr>
            <w:tcW w:w="11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1CDAED" w14:textId="77777777" w:rsidR="008470E0" w:rsidRPr="00A576F8" w:rsidRDefault="008470E0" w:rsidP="004B4AC2">
            <w:pPr>
              <w:rPr>
                <w:rFonts w:cs="Arial"/>
                <w:noProof/>
                <w:color w:val="FF0000"/>
                <w:sz w:val="22"/>
                <w:szCs w:val="22"/>
                <w:lang w:eastAsia="en-GB"/>
              </w:rPr>
            </w:pPr>
            <w:r>
              <w:rPr>
                <w:rFonts w:cs="Arial"/>
                <w:sz w:val="22"/>
                <w:szCs w:val="22"/>
              </w:rPr>
              <w:t> </w:t>
            </w:r>
          </w:p>
        </w:tc>
        <w:tc>
          <w:tcPr>
            <w:tcW w:w="1450" w:type="dxa"/>
            <w:tcBorders>
              <w:top w:val="single" w:sz="8" w:space="0" w:color="auto"/>
              <w:left w:val="nil"/>
              <w:bottom w:val="single" w:sz="8" w:space="0" w:color="auto"/>
              <w:right w:val="single" w:sz="8" w:space="0" w:color="auto"/>
            </w:tcBorders>
            <w:shd w:val="clear" w:color="auto" w:fill="auto"/>
            <w:vAlign w:val="center"/>
          </w:tcPr>
          <w:p w14:paraId="6C07679F" w14:textId="77777777" w:rsidR="008470E0" w:rsidRPr="00A576F8" w:rsidRDefault="008470E0" w:rsidP="004B4AC2">
            <w:pPr>
              <w:jc w:val="center"/>
              <w:rPr>
                <w:rFonts w:cs="Arial"/>
                <w:b/>
                <w:noProof/>
                <w:color w:val="FF0000"/>
                <w:sz w:val="22"/>
                <w:szCs w:val="22"/>
                <w:lang w:eastAsia="en-GB"/>
              </w:rPr>
            </w:pPr>
            <w:r>
              <w:rPr>
                <w:rFonts w:cs="Arial"/>
                <w:b/>
                <w:bCs/>
                <w:sz w:val="22"/>
                <w:szCs w:val="22"/>
              </w:rPr>
              <w:t>Resources</w:t>
            </w:r>
          </w:p>
        </w:tc>
        <w:tc>
          <w:tcPr>
            <w:tcW w:w="1182" w:type="dxa"/>
            <w:tcBorders>
              <w:top w:val="single" w:sz="8" w:space="0" w:color="auto"/>
              <w:left w:val="nil"/>
              <w:bottom w:val="single" w:sz="8" w:space="0" w:color="auto"/>
              <w:right w:val="single" w:sz="8" w:space="0" w:color="auto"/>
            </w:tcBorders>
            <w:shd w:val="clear" w:color="auto" w:fill="auto"/>
            <w:vAlign w:val="center"/>
          </w:tcPr>
          <w:p w14:paraId="731F416F" w14:textId="77777777" w:rsidR="008470E0" w:rsidRPr="00A576F8" w:rsidRDefault="008470E0" w:rsidP="004B4AC2">
            <w:pPr>
              <w:jc w:val="center"/>
              <w:rPr>
                <w:rFonts w:cs="Arial"/>
                <w:b/>
                <w:noProof/>
                <w:color w:val="FF0000"/>
                <w:sz w:val="22"/>
                <w:szCs w:val="22"/>
                <w:lang w:eastAsia="en-GB"/>
              </w:rPr>
            </w:pPr>
            <w:r>
              <w:rPr>
                <w:rFonts w:cs="Arial"/>
                <w:b/>
                <w:bCs/>
                <w:sz w:val="22"/>
                <w:szCs w:val="22"/>
              </w:rPr>
              <w:t>People Services</w:t>
            </w:r>
          </w:p>
        </w:tc>
        <w:tc>
          <w:tcPr>
            <w:tcW w:w="1522" w:type="dxa"/>
            <w:tcBorders>
              <w:top w:val="single" w:sz="8" w:space="0" w:color="auto"/>
              <w:left w:val="nil"/>
              <w:bottom w:val="single" w:sz="8" w:space="0" w:color="auto"/>
              <w:right w:val="single" w:sz="8" w:space="0" w:color="auto"/>
            </w:tcBorders>
            <w:shd w:val="clear" w:color="auto" w:fill="auto"/>
            <w:vAlign w:val="center"/>
          </w:tcPr>
          <w:p w14:paraId="111E3723" w14:textId="77777777" w:rsidR="008470E0" w:rsidRPr="00A576F8" w:rsidRDefault="008470E0" w:rsidP="004B4AC2">
            <w:pPr>
              <w:jc w:val="center"/>
              <w:rPr>
                <w:rFonts w:cs="Arial"/>
                <w:b/>
                <w:noProof/>
                <w:color w:val="FF0000"/>
                <w:sz w:val="22"/>
                <w:szCs w:val="22"/>
                <w:lang w:eastAsia="en-GB"/>
              </w:rPr>
            </w:pPr>
            <w:r>
              <w:rPr>
                <w:rFonts w:cs="Arial"/>
                <w:b/>
                <w:bCs/>
                <w:sz w:val="22"/>
                <w:szCs w:val="22"/>
              </w:rPr>
              <w:t>Community</w:t>
            </w:r>
          </w:p>
        </w:tc>
        <w:tc>
          <w:tcPr>
            <w:tcW w:w="1376" w:type="dxa"/>
            <w:tcBorders>
              <w:top w:val="single" w:sz="8" w:space="0" w:color="auto"/>
              <w:left w:val="nil"/>
              <w:bottom w:val="single" w:sz="8" w:space="0" w:color="auto"/>
              <w:right w:val="single" w:sz="8" w:space="0" w:color="auto"/>
            </w:tcBorders>
            <w:shd w:val="clear" w:color="auto" w:fill="auto"/>
            <w:vAlign w:val="center"/>
          </w:tcPr>
          <w:p w14:paraId="4F35FE46" w14:textId="77777777" w:rsidR="008470E0" w:rsidRPr="00A576F8" w:rsidRDefault="008470E0" w:rsidP="004B4AC2">
            <w:pPr>
              <w:jc w:val="center"/>
              <w:rPr>
                <w:rFonts w:cs="Arial"/>
                <w:b/>
                <w:noProof/>
                <w:color w:val="FF0000"/>
                <w:sz w:val="22"/>
                <w:szCs w:val="22"/>
                <w:lang w:eastAsia="en-GB"/>
              </w:rPr>
            </w:pPr>
            <w:r>
              <w:rPr>
                <w:rFonts w:cs="Arial"/>
                <w:b/>
                <w:bCs/>
                <w:sz w:val="22"/>
                <w:szCs w:val="22"/>
              </w:rPr>
              <w:t>Corporate</w:t>
            </w:r>
          </w:p>
        </w:tc>
        <w:tc>
          <w:tcPr>
            <w:tcW w:w="1097" w:type="dxa"/>
            <w:tcBorders>
              <w:top w:val="single" w:sz="8" w:space="0" w:color="auto"/>
              <w:left w:val="nil"/>
              <w:bottom w:val="single" w:sz="8" w:space="0" w:color="auto"/>
              <w:right w:val="single" w:sz="8" w:space="0" w:color="auto"/>
            </w:tcBorders>
            <w:shd w:val="clear" w:color="auto" w:fill="auto"/>
            <w:vAlign w:val="center"/>
          </w:tcPr>
          <w:p w14:paraId="6568A4FC" w14:textId="77777777" w:rsidR="008470E0" w:rsidRPr="00A576F8" w:rsidRDefault="008470E0" w:rsidP="004B4AC2">
            <w:pPr>
              <w:jc w:val="center"/>
              <w:rPr>
                <w:rFonts w:cs="Arial"/>
                <w:b/>
                <w:noProof/>
                <w:color w:val="FF0000"/>
                <w:sz w:val="22"/>
                <w:szCs w:val="22"/>
                <w:lang w:eastAsia="en-GB"/>
              </w:rPr>
            </w:pPr>
            <w:r>
              <w:rPr>
                <w:rFonts w:cs="Arial"/>
                <w:b/>
                <w:bCs/>
                <w:sz w:val="22"/>
                <w:szCs w:val="22"/>
              </w:rPr>
              <w:t>Total</w:t>
            </w:r>
          </w:p>
        </w:tc>
        <w:tc>
          <w:tcPr>
            <w:tcW w:w="830" w:type="dxa"/>
            <w:tcBorders>
              <w:top w:val="single" w:sz="8" w:space="0" w:color="auto"/>
              <w:left w:val="nil"/>
              <w:bottom w:val="single" w:sz="8" w:space="0" w:color="auto"/>
              <w:right w:val="single" w:sz="8" w:space="0" w:color="auto"/>
            </w:tcBorders>
            <w:shd w:val="clear" w:color="auto" w:fill="auto"/>
            <w:vAlign w:val="center"/>
          </w:tcPr>
          <w:p w14:paraId="7A8E446A" w14:textId="77777777" w:rsidR="008470E0" w:rsidRPr="00A576F8" w:rsidRDefault="008470E0" w:rsidP="004B4AC2">
            <w:pPr>
              <w:jc w:val="center"/>
              <w:rPr>
                <w:rFonts w:cs="Arial"/>
                <w:b/>
                <w:noProof/>
                <w:color w:val="FF0000"/>
                <w:sz w:val="22"/>
                <w:szCs w:val="22"/>
                <w:lang w:eastAsia="en-GB"/>
              </w:rPr>
            </w:pPr>
            <w:r>
              <w:rPr>
                <w:rFonts w:cs="Arial"/>
                <w:b/>
                <w:bCs/>
                <w:sz w:val="22"/>
                <w:szCs w:val="22"/>
              </w:rPr>
              <w:t>%</w:t>
            </w:r>
          </w:p>
        </w:tc>
      </w:tr>
      <w:tr w:rsidR="008470E0" w:rsidRPr="00A576F8" w14:paraId="4215F224" w14:textId="77777777" w:rsidTr="004B4AC2">
        <w:trPr>
          <w:trHeight w:val="284"/>
        </w:trPr>
        <w:tc>
          <w:tcPr>
            <w:tcW w:w="1185" w:type="dxa"/>
            <w:vMerge/>
            <w:tcBorders>
              <w:top w:val="single" w:sz="8" w:space="0" w:color="auto"/>
              <w:left w:val="single" w:sz="8" w:space="0" w:color="auto"/>
              <w:bottom w:val="single" w:sz="8" w:space="0" w:color="000000"/>
              <w:right w:val="single" w:sz="8" w:space="0" w:color="auto"/>
            </w:tcBorders>
            <w:vAlign w:val="center"/>
          </w:tcPr>
          <w:p w14:paraId="3BA97AD5" w14:textId="77777777" w:rsidR="008470E0" w:rsidRPr="00A576F8" w:rsidRDefault="008470E0" w:rsidP="004B4AC2">
            <w:pPr>
              <w:rPr>
                <w:rFonts w:cs="Arial"/>
                <w:noProof/>
                <w:color w:val="FF0000"/>
                <w:sz w:val="22"/>
                <w:szCs w:val="22"/>
                <w:lang w:eastAsia="en-GB"/>
              </w:rPr>
            </w:pPr>
          </w:p>
        </w:tc>
        <w:tc>
          <w:tcPr>
            <w:tcW w:w="1450" w:type="dxa"/>
            <w:tcBorders>
              <w:top w:val="nil"/>
              <w:left w:val="nil"/>
              <w:bottom w:val="single" w:sz="8" w:space="0" w:color="auto"/>
              <w:right w:val="single" w:sz="8" w:space="0" w:color="auto"/>
            </w:tcBorders>
            <w:shd w:val="clear" w:color="auto" w:fill="auto"/>
            <w:vAlign w:val="center"/>
          </w:tcPr>
          <w:p w14:paraId="6FDA1E09" w14:textId="77777777" w:rsidR="008470E0" w:rsidRPr="00A576F8" w:rsidRDefault="008470E0" w:rsidP="004B4AC2">
            <w:pPr>
              <w:jc w:val="center"/>
              <w:rPr>
                <w:rFonts w:cs="Arial"/>
                <w:b/>
                <w:noProof/>
                <w:color w:val="FF0000"/>
                <w:sz w:val="22"/>
                <w:szCs w:val="22"/>
                <w:lang w:eastAsia="en-GB"/>
              </w:rPr>
            </w:pPr>
            <w:r>
              <w:rPr>
                <w:rFonts w:cs="Arial"/>
                <w:b/>
                <w:bCs/>
                <w:sz w:val="22"/>
                <w:szCs w:val="22"/>
              </w:rPr>
              <w:t>£’000</w:t>
            </w:r>
          </w:p>
        </w:tc>
        <w:tc>
          <w:tcPr>
            <w:tcW w:w="1182" w:type="dxa"/>
            <w:tcBorders>
              <w:top w:val="nil"/>
              <w:left w:val="nil"/>
              <w:bottom w:val="single" w:sz="8" w:space="0" w:color="auto"/>
              <w:right w:val="single" w:sz="8" w:space="0" w:color="auto"/>
            </w:tcBorders>
            <w:shd w:val="clear" w:color="auto" w:fill="auto"/>
            <w:vAlign w:val="center"/>
          </w:tcPr>
          <w:p w14:paraId="1DBF2540" w14:textId="77777777" w:rsidR="008470E0" w:rsidRPr="00A576F8" w:rsidRDefault="008470E0" w:rsidP="004B4AC2">
            <w:pPr>
              <w:jc w:val="center"/>
              <w:rPr>
                <w:rFonts w:cs="Arial"/>
                <w:b/>
                <w:color w:val="FF0000"/>
                <w:sz w:val="22"/>
                <w:szCs w:val="22"/>
              </w:rPr>
            </w:pPr>
            <w:r>
              <w:rPr>
                <w:rFonts w:cs="Arial"/>
                <w:b/>
                <w:bCs/>
                <w:sz w:val="22"/>
                <w:szCs w:val="22"/>
              </w:rPr>
              <w:t>£’000</w:t>
            </w:r>
          </w:p>
        </w:tc>
        <w:tc>
          <w:tcPr>
            <w:tcW w:w="1522" w:type="dxa"/>
            <w:tcBorders>
              <w:top w:val="nil"/>
              <w:left w:val="nil"/>
              <w:bottom w:val="single" w:sz="8" w:space="0" w:color="auto"/>
              <w:right w:val="single" w:sz="8" w:space="0" w:color="auto"/>
            </w:tcBorders>
            <w:shd w:val="clear" w:color="auto" w:fill="auto"/>
            <w:vAlign w:val="center"/>
          </w:tcPr>
          <w:p w14:paraId="4904C3F8" w14:textId="77777777" w:rsidR="008470E0" w:rsidRPr="00A576F8" w:rsidRDefault="008470E0" w:rsidP="004B4AC2">
            <w:pPr>
              <w:jc w:val="center"/>
              <w:rPr>
                <w:rFonts w:cs="Arial"/>
                <w:b/>
                <w:color w:val="FF0000"/>
                <w:sz w:val="22"/>
                <w:szCs w:val="22"/>
              </w:rPr>
            </w:pPr>
            <w:r>
              <w:rPr>
                <w:rFonts w:cs="Arial"/>
                <w:b/>
                <w:bCs/>
                <w:sz w:val="22"/>
                <w:szCs w:val="22"/>
              </w:rPr>
              <w:t>£’000</w:t>
            </w:r>
          </w:p>
        </w:tc>
        <w:tc>
          <w:tcPr>
            <w:tcW w:w="1376" w:type="dxa"/>
            <w:tcBorders>
              <w:top w:val="nil"/>
              <w:left w:val="nil"/>
              <w:bottom w:val="single" w:sz="8" w:space="0" w:color="auto"/>
              <w:right w:val="single" w:sz="8" w:space="0" w:color="auto"/>
            </w:tcBorders>
            <w:shd w:val="clear" w:color="auto" w:fill="auto"/>
            <w:vAlign w:val="center"/>
          </w:tcPr>
          <w:p w14:paraId="56DED204" w14:textId="77777777" w:rsidR="008470E0" w:rsidRPr="00A576F8" w:rsidRDefault="008470E0" w:rsidP="004B4AC2">
            <w:pPr>
              <w:jc w:val="center"/>
              <w:rPr>
                <w:rFonts w:cs="Arial"/>
                <w:b/>
                <w:color w:val="FF0000"/>
                <w:sz w:val="22"/>
                <w:szCs w:val="22"/>
              </w:rPr>
            </w:pPr>
            <w:r>
              <w:rPr>
                <w:rFonts w:cs="Arial"/>
                <w:b/>
                <w:bCs/>
                <w:sz w:val="22"/>
                <w:szCs w:val="22"/>
              </w:rPr>
              <w:t>£’000</w:t>
            </w:r>
          </w:p>
        </w:tc>
        <w:tc>
          <w:tcPr>
            <w:tcW w:w="1097" w:type="dxa"/>
            <w:tcBorders>
              <w:top w:val="nil"/>
              <w:left w:val="nil"/>
              <w:bottom w:val="single" w:sz="8" w:space="0" w:color="auto"/>
              <w:right w:val="single" w:sz="8" w:space="0" w:color="auto"/>
            </w:tcBorders>
            <w:shd w:val="clear" w:color="auto" w:fill="auto"/>
            <w:vAlign w:val="center"/>
          </w:tcPr>
          <w:p w14:paraId="3D2BC3E3" w14:textId="77777777" w:rsidR="008470E0" w:rsidRPr="00A576F8" w:rsidRDefault="008470E0" w:rsidP="004B4AC2">
            <w:pPr>
              <w:jc w:val="center"/>
              <w:rPr>
                <w:rFonts w:cs="Arial"/>
                <w:b/>
                <w:color w:val="FF0000"/>
                <w:sz w:val="22"/>
                <w:szCs w:val="22"/>
              </w:rPr>
            </w:pPr>
            <w:r>
              <w:rPr>
                <w:rFonts w:cs="Arial"/>
                <w:b/>
                <w:bCs/>
                <w:sz w:val="22"/>
                <w:szCs w:val="22"/>
              </w:rPr>
              <w:t>£’000</w:t>
            </w:r>
          </w:p>
        </w:tc>
        <w:tc>
          <w:tcPr>
            <w:tcW w:w="830" w:type="dxa"/>
            <w:tcBorders>
              <w:top w:val="nil"/>
              <w:left w:val="nil"/>
              <w:bottom w:val="single" w:sz="8" w:space="0" w:color="auto"/>
              <w:right w:val="single" w:sz="8" w:space="0" w:color="auto"/>
            </w:tcBorders>
            <w:shd w:val="clear" w:color="auto" w:fill="auto"/>
            <w:vAlign w:val="center"/>
          </w:tcPr>
          <w:p w14:paraId="5306AC89" w14:textId="77777777" w:rsidR="008470E0" w:rsidRPr="00A576F8" w:rsidRDefault="008470E0" w:rsidP="004B4AC2">
            <w:pPr>
              <w:jc w:val="center"/>
              <w:rPr>
                <w:rFonts w:cs="Arial"/>
                <w:b/>
                <w:noProof/>
                <w:color w:val="FF0000"/>
                <w:sz w:val="22"/>
                <w:szCs w:val="22"/>
                <w:lang w:eastAsia="en-GB"/>
              </w:rPr>
            </w:pPr>
            <w:r>
              <w:rPr>
                <w:rFonts w:cs="Arial"/>
                <w:b/>
                <w:bCs/>
                <w:sz w:val="22"/>
                <w:szCs w:val="22"/>
              </w:rPr>
              <w:t> </w:t>
            </w:r>
          </w:p>
        </w:tc>
      </w:tr>
      <w:tr w:rsidR="008470E0" w:rsidRPr="00A576F8" w14:paraId="7370B82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5EF717E8" w14:textId="77777777" w:rsidR="008470E0" w:rsidRPr="00A576F8" w:rsidRDefault="008470E0" w:rsidP="004B4AC2">
            <w:pPr>
              <w:rPr>
                <w:rFonts w:cs="Arial"/>
                <w:b/>
                <w:noProof/>
                <w:color w:val="FF0000"/>
                <w:sz w:val="22"/>
                <w:szCs w:val="22"/>
                <w:lang w:eastAsia="en-GB"/>
              </w:rPr>
            </w:pPr>
            <w:r>
              <w:rPr>
                <w:rFonts w:cs="Arial"/>
                <w:b/>
                <w:bCs/>
                <w:sz w:val="22"/>
                <w:szCs w:val="22"/>
              </w:rPr>
              <w:t>Red</w:t>
            </w:r>
          </w:p>
        </w:tc>
        <w:tc>
          <w:tcPr>
            <w:tcW w:w="1450" w:type="dxa"/>
            <w:tcBorders>
              <w:top w:val="nil"/>
              <w:left w:val="nil"/>
              <w:bottom w:val="single" w:sz="8" w:space="0" w:color="auto"/>
              <w:right w:val="single" w:sz="8" w:space="0" w:color="auto"/>
            </w:tcBorders>
            <w:shd w:val="clear" w:color="auto" w:fill="auto"/>
            <w:vAlign w:val="center"/>
          </w:tcPr>
          <w:p w14:paraId="485D0E66" w14:textId="77777777" w:rsidR="008470E0" w:rsidRPr="00A576F8" w:rsidRDefault="008470E0" w:rsidP="004B4AC2">
            <w:pPr>
              <w:jc w:val="right"/>
              <w:rPr>
                <w:rFonts w:cs="Arial"/>
                <w:noProof/>
                <w:color w:val="FF0000"/>
                <w:sz w:val="22"/>
                <w:szCs w:val="22"/>
                <w:lang w:eastAsia="en-GB"/>
              </w:rPr>
            </w:pPr>
            <w:r>
              <w:rPr>
                <w:rFonts w:cs="Arial"/>
              </w:rPr>
              <w:t>-175</w:t>
            </w:r>
          </w:p>
        </w:tc>
        <w:tc>
          <w:tcPr>
            <w:tcW w:w="1182" w:type="dxa"/>
            <w:tcBorders>
              <w:top w:val="nil"/>
              <w:left w:val="nil"/>
              <w:bottom w:val="single" w:sz="8" w:space="0" w:color="auto"/>
              <w:right w:val="single" w:sz="8" w:space="0" w:color="auto"/>
            </w:tcBorders>
            <w:shd w:val="clear" w:color="auto" w:fill="auto"/>
            <w:vAlign w:val="center"/>
          </w:tcPr>
          <w:p w14:paraId="34FE4735" w14:textId="77777777" w:rsidR="008470E0" w:rsidRPr="00A576F8" w:rsidRDefault="008470E0" w:rsidP="004B4AC2">
            <w:pPr>
              <w:jc w:val="right"/>
              <w:rPr>
                <w:rFonts w:cs="Arial"/>
                <w:noProof/>
                <w:color w:val="FF0000"/>
                <w:sz w:val="22"/>
                <w:szCs w:val="22"/>
                <w:lang w:eastAsia="en-GB"/>
              </w:rPr>
            </w:pPr>
            <w:r>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19FE822A" w14:textId="77777777" w:rsidR="008470E0" w:rsidRPr="00A576F8" w:rsidRDefault="008470E0" w:rsidP="004B4AC2">
            <w:pPr>
              <w:jc w:val="right"/>
              <w:rPr>
                <w:rFonts w:cs="Arial"/>
                <w:noProof/>
                <w:color w:val="FF0000"/>
                <w:sz w:val="22"/>
                <w:szCs w:val="22"/>
                <w:lang w:eastAsia="en-GB"/>
              </w:rPr>
            </w:pPr>
            <w:r>
              <w:rPr>
                <w:rFonts w:cs="Arial"/>
              </w:rPr>
              <w:t>-34</w:t>
            </w:r>
          </w:p>
        </w:tc>
        <w:tc>
          <w:tcPr>
            <w:tcW w:w="1376" w:type="dxa"/>
            <w:tcBorders>
              <w:top w:val="nil"/>
              <w:left w:val="nil"/>
              <w:bottom w:val="single" w:sz="8" w:space="0" w:color="auto"/>
              <w:right w:val="single" w:sz="8" w:space="0" w:color="auto"/>
            </w:tcBorders>
            <w:shd w:val="clear" w:color="auto" w:fill="auto"/>
            <w:vAlign w:val="center"/>
          </w:tcPr>
          <w:p w14:paraId="53D44ACA" w14:textId="77777777" w:rsidR="008470E0" w:rsidRPr="00A576F8" w:rsidRDefault="008470E0" w:rsidP="004B4AC2">
            <w:pPr>
              <w:jc w:val="right"/>
              <w:rPr>
                <w:rFonts w:cs="Arial"/>
                <w:noProof/>
                <w:color w:val="FF0000"/>
                <w:sz w:val="22"/>
                <w:szCs w:val="22"/>
                <w:lang w:eastAsia="en-GB"/>
              </w:rPr>
            </w:pPr>
            <w:r>
              <w:rPr>
                <w:rFonts w:cs="Arial"/>
              </w:rPr>
              <w:t>-1,000</w:t>
            </w:r>
          </w:p>
        </w:tc>
        <w:tc>
          <w:tcPr>
            <w:tcW w:w="1097" w:type="dxa"/>
            <w:tcBorders>
              <w:top w:val="nil"/>
              <w:left w:val="nil"/>
              <w:bottom w:val="single" w:sz="8" w:space="0" w:color="auto"/>
              <w:right w:val="single" w:sz="8" w:space="0" w:color="auto"/>
            </w:tcBorders>
            <w:shd w:val="clear" w:color="auto" w:fill="auto"/>
            <w:vAlign w:val="center"/>
          </w:tcPr>
          <w:p w14:paraId="124616CE" w14:textId="77777777" w:rsidR="008470E0" w:rsidRPr="00A576F8" w:rsidRDefault="008470E0" w:rsidP="004B4AC2">
            <w:pPr>
              <w:jc w:val="right"/>
              <w:rPr>
                <w:rFonts w:cs="Arial"/>
                <w:noProof/>
                <w:color w:val="FF0000"/>
                <w:sz w:val="22"/>
                <w:szCs w:val="22"/>
                <w:lang w:eastAsia="en-GB"/>
              </w:rPr>
            </w:pPr>
            <w:r>
              <w:rPr>
                <w:rFonts w:cs="Arial"/>
              </w:rPr>
              <w:t>-1,209</w:t>
            </w:r>
          </w:p>
        </w:tc>
        <w:tc>
          <w:tcPr>
            <w:tcW w:w="830" w:type="dxa"/>
            <w:tcBorders>
              <w:top w:val="nil"/>
              <w:left w:val="nil"/>
              <w:bottom w:val="single" w:sz="8" w:space="0" w:color="auto"/>
              <w:right w:val="single" w:sz="8" w:space="0" w:color="auto"/>
            </w:tcBorders>
            <w:shd w:val="clear" w:color="auto" w:fill="auto"/>
            <w:vAlign w:val="center"/>
          </w:tcPr>
          <w:p w14:paraId="25E59423" w14:textId="77777777" w:rsidR="008470E0" w:rsidRPr="00A576F8" w:rsidRDefault="008470E0" w:rsidP="004B4AC2">
            <w:pPr>
              <w:jc w:val="right"/>
              <w:rPr>
                <w:rFonts w:cs="Arial"/>
                <w:noProof/>
                <w:color w:val="FF0000"/>
                <w:sz w:val="22"/>
                <w:szCs w:val="22"/>
                <w:lang w:eastAsia="en-GB"/>
              </w:rPr>
            </w:pPr>
            <w:r>
              <w:rPr>
                <w:rFonts w:cs="Arial"/>
              </w:rPr>
              <w:t>35%</w:t>
            </w:r>
          </w:p>
        </w:tc>
      </w:tr>
      <w:tr w:rsidR="008470E0" w:rsidRPr="00A576F8" w14:paraId="646B582F"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4655041C" w14:textId="77777777" w:rsidR="008470E0" w:rsidRPr="00A576F8" w:rsidRDefault="008470E0" w:rsidP="004B4AC2">
            <w:pPr>
              <w:rPr>
                <w:rFonts w:cs="Arial"/>
                <w:b/>
                <w:noProof/>
                <w:color w:val="FF0000"/>
                <w:sz w:val="22"/>
                <w:szCs w:val="22"/>
                <w:lang w:eastAsia="en-GB"/>
              </w:rPr>
            </w:pPr>
            <w:r>
              <w:rPr>
                <w:rFonts w:cs="Arial"/>
                <w:b/>
                <w:bCs/>
                <w:sz w:val="22"/>
                <w:szCs w:val="22"/>
              </w:rPr>
              <w:t>Amber</w:t>
            </w:r>
          </w:p>
        </w:tc>
        <w:tc>
          <w:tcPr>
            <w:tcW w:w="1450" w:type="dxa"/>
            <w:tcBorders>
              <w:top w:val="nil"/>
              <w:left w:val="nil"/>
              <w:bottom w:val="single" w:sz="8" w:space="0" w:color="auto"/>
              <w:right w:val="single" w:sz="8" w:space="0" w:color="auto"/>
            </w:tcBorders>
            <w:shd w:val="clear" w:color="auto" w:fill="auto"/>
            <w:vAlign w:val="center"/>
          </w:tcPr>
          <w:p w14:paraId="468B8781" w14:textId="77777777" w:rsidR="008470E0" w:rsidRPr="00A576F8" w:rsidRDefault="008470E0" w:rsidP="004B4AC2">
            <w:pPr>
              <w:jc w:val="right"/>
              <w:rPr>
                <w:rFonts w:cs="Arial"/>
                <w:noProof/>
                <w:color w:val="FF0000"/>
                <w:sz w:val="22"/>
                <w:szCs w:val="22"/>
                <w:lang w:eastAsia="en-GB"/>
              </w:rPr>
            </w:pPr>
            <w:r>
              <w:rPr>
                <w:rFonts w:cs="Arial"/>
              </w:rPr>
              <w:t> </w:t>
            </w:r>
          </w:p>
        </w:tc>
        <w:tc>
          <w:tcPr>
            <w:tcW w:w="1182" w:type="dxa"/>
            <w:tcBorders>
              <w:top w:val="nil"/>
              <w:left w:val="nil"/>
              <w:bottom w:val="single" w:sz="8" w:space="0" w:color="auto"/>
              <w:right w:val="single" w:sz="8" w:space="0" w:color="auto"/>
            </w:tcBorders>
            <w:shd w:val="clear" w:color="auto" w:fill="auto"/>
            <w:vAlign w:val="center"/>
          </w:tcPr>
          <w:p w14:paraId="71DA37D4" w14:textId="77777777" w:rsidR="008470E0" w:rsidRPr="00A576F8" w:rsidRDefault="008470E0" w:rsidP="004B4AC2">
            <w:pPr>
              <w:jc w:val="right"/>
              <w:rPr>
                <w:rFonts w:cs="Arial"/>
                <w:noProof/>
                <w:color w:val="FF0000"/>
                <w:sz w:val="22"/>
                <w:szCs w:val="22"/>
                <w:lang w:eastAsia="en-GB"/>
              </w:rPr>
            </w:pPr>
            <w:r>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5B9CA34B" w14:textId="77777777" w:rsidR="008470E0" w:rsidRPr="00A576F8" w:rsidRDefault="008470E0" w:rsidP="004B4AC2">
            <w:pPr>
              <w:jc w:val="right"/>
              <w:rPr>
                <w:rFonts w:cs="Arial"/>
                <w:noProof/>
                <w:color w:val="FF0000"/>
                <w:sz w:val="22"/>
                <w:szCs w:val="22"/>
                <w:lang w:eastAsia="en-GB"/>
              </w:rPr>
            </w:pPr>
            <w:r>
              <w:rPr>
                <w:rFonts w:cs="Arial"/>
              </w:rPr>
              <w:t>-36</w:t>
            </w:r>
          </w:p>
        </w:tc>
        <w:tc>
          <w:tcPr>
            <w:tcW w:w="1376" w:type="dxa"/>
            <w:tcBorders>
              <w:top w:val="nil"/>
              <w:left w:val="nil"/>
              <w:bottom w:val="single" w:sz="8" w:space="0" w:color="auto"/>
              <w:right w:val="single" w:sz="8" w:space="0" w:color="auto"/>
            </w:tcBorders>
            <w:shd w:val="clear" w:color="auto" w:fill="auto"/>
            <w:vAlign w:val="center"/>
          </w:tcPr>
          <w:p w14:paraId="23316803" w14:textId="77777777" w:rsidR="008470E0" w:rsidRPr="00A576F8" w:rsidRDefault="008470E0" w:rsidP="004B4AC2">
            <w:pPr>
              <w:jc w:val="right"/>
              <w:rPr>
                <w:rFonts w:cs="Arial"/>
                <w:noProof/>
                <w:color w:val="FF0000"/>
                <w:sz w:val="22"/>
                <w:szCs w:val="22"/>
                <w:lang w:eastAsia="en-GB"/>
              </w:rPr>
            </w:pPr>
            <w:r>
              <w:rPr>
                <w:rFonts w:cs="Arial"/>
              </w:rPr>
              <w:t>-144</w:t>
            </w:r>
          </w:p>
        </w:tc>
        <w:tc>
          <w:tcPr>
            <w:tcW w:w="1097" w:type="dxa"/>
            <w:tcBorders>
              <w:top w:val="nil"/>
              <w:left w:val="nil"/>
              <w:bottom w:val="single" w:sz="8" w:space="0" w:color="auto"/>
              <w:right w:val="single" w:sz="8" w:space="0" w:color="auto"/>
            </w:tcBorders>
            <w:shd w:val="clear" w:color="auto" w:fill="auto"/>
            <w:vAlign w:val="center"/>
          </w:tcPr>
          <w:p w14:paraId="397006EB" w14:textId="77777777" w:rsidR="008470E0" w:rsidRPr="00A576F8" w:rsidRDefault="008470E0" w:rsidP="004B4AC2">
            <w:pPr>
              <w:jc w:val="right"/>
              <w:rPr>
                <w:rFonts w:cs="Arial"/>
                <w:noProof/>
                <w:color w:val="FF0000"/>
                <w:sz w:val="22"/>
                <w:szCs w:val="22"/>
                <w:lang w:eastAsia="en-GB"/>
              </w:rPr>
            </w:pPr>
            <w:r>
              <w:rPr>
                <w:rFonts w:cs="Arial"/>
              </w:rPr>
              <w:t>-180</w:t>
            </w:r>
          </w:p>
        </w:tc>
        <w:tc>
          <w:tcPr>
            <w:tcW w:w="830" w:type="dxa"/>
            <w:tcBorders>
              <w:top w:val="nil"/>
              <w:left w:val="nil"/>
              <w:bottom w:val="single" w:sz="8" w:space="0" w:color="auto"/>
              <w:right w:val="single" w:sz="8" w:space="0" w:color="auto"/>
            </w:tcBorders>
            <w:shd w:val="clear" w:color="auto" w:fill="auto"/>
            <w:vAlign w:val="center"/>
          </w:tcPr>
          <w:p w14:paraId="19C63852" w14:textId="77777777" w:rsidR="008470E0" w:rsidRPr="00A576F8" w:rsidRDefault="008470E0" w:rsidP="004B4AC2">
            <w:pPr>
              <w:jc w:val="right"/>
              <w:rPr>
                <w:rFonts w:cs="Arial"/>
                <w:noProof/>
                <w:color w:val="FF0000"/>
                <w:sz w:val="22"/>
                <w:szCs w:val="22"/>
                <w:lang w:eastAsia="en-GB"/>
              </w:rPr>
            </w:pPr>
            <w:r>
              <w:rPr>
                <w:rFonts w:cs="Arial"/>
              </w:rPr>
              <w:t>5%</w:t>
            </w:r>
          </w:p>
        </w:tc>
      </w:tr>
      <w:tr w:rsidR="008470E0" w:rsidRPr="00EC4755" w14:paraId="2A8E303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0522FE56" w14:textId="77777777" w:rsidR="008470E0" w:rsidRPr="00EC4755" w:rsidRDefault="008470E0" w:rsidP="004B4AC2">
            <w:pPr>
              <w:rPr>
                <w:rFonts w:cs="Arial"/>
                <w:b/>
                <w:noProof/>
                <w:sz w:val="22"/>
                <w:szCs w:val="22"/>
                <w:lang w:eastAsia="en-GB"/>
              </w:rPr>
            </w:pPr>
            <w:r w:rsidRPr="00EC4755">
              <w:rPr>
                <w:rFonts w:cs="Arial"/>
                <w:b/>
                <w:bCs/>
                <w:sz w:val="22"/>
                <w:szCs w:val="22"/>
              </w:rPr>
              <w:t>Green</w:t>
            </w:r>
          </w:p>
        </w:tc>
        <w:tc>
          <w:tcPr>
            <w:tcW w:w="1450" w:type="dxa"/>
            <w:tcBorders>
              <w:top w:val="nil"/>
              <w:left w:val="nil"/>
              <w:bottom w:val="single" w:sz="8" w:space="0" w:color="auto"/>
              <w:right w:val="single" w:sz="8" w:space="0" w:color="auto"/>
            </w:tcBorders>
            <w:shd w:val="clear" w:color="auto" w:fill="auto"/>
            <w:vAlign w:val="center"/>
          </w:tcPr>
          <w:p w14:paraId="2A83D500" w14:textId="77777777" w:rsidR="008470E0" w:rsidRPr="00EC4755" w:rsidRDefault="008470E0" w:rsidP="004B4AC2">
            <w:pPr>
              <w:jc w:val="right"/>
              <w:rPr>
                <w:rFonts w:cs="Arial"/>
                <w:noProof/>
                <w:sz w:val="22"/>
                <w:szCs w:val="22"/>
                <w:lang w:eastAsia="en-GB"/>
              </w:rPr>
            </w:pPr>
            <w:r w:rsidRPr="00EC4755">
              <w:rPr>
                <w:rFonts w:cs="Arial"/>
              </w:rPr>
              <w:t>-1,759</w:t>
            </w:r>
          </w:p>
        </w:tc>
        <w:tc>
          <w:tcPr>
            <w:tcW w:w="1182" w:type="dxa"/>
            <w:tcBorders>
              <w:top w:val="nil"/>
              <w:left w:val="nil"/>
              <w:bottom w:val="single" w:sz="8" w:space="0" w:color="auto"/>
              <w:right w:val="single" w:sz="8" w:space="0" w:color="auto"/>
            </w:tcBorders>
            <w:shd w:val="clear" w:color="auto" w:fill="auto"/>
            <w:vAlign w:val="center"/>
          </w:tcPr>
          <w:p w14:paraId="1E8F3DD7" w14:textId="77777777" w:rsidR="008470E0" w:rsidRPr="00EC4755" w:rsidRDefault="008470E0" w:rsidP="004B4AC2">
            <w:pPr>
              <w:jc w:val="right"/>
              <w:rPr>
                <w:rFonts w:cs="Arial"/>
                <w:noProof/>
                <w:sz w:val="22"/>
                <w:szCs w:val="22"/>
                <w:lang w:eastAsia="en-GB"/>
              </w:rPr>
            </w:pPr>
            <w:r w:rsidRPr="00EC4755">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7844169A" w14:textId="77777777" w:rsidR="008470E0" w:rsidRPr="00EC4755" w:rsidRDefault="008470E0" w:rsidP="004B4AC2">
            <w:pPr>
              <w:jc w:val="right"/>
              <w:rPr>
                <w:rFonts w:cs="Arial"/>
                <w:noProof/>
                <w:sz w:val="22"/>
                <w:szCs w:val="22"/>
                <w:lang w:eastAsia="en-GB"/>
              </w:rPr>
            </w:pPr>
            <w:r w:rsidRPr="00EC4755">
              <w:rPr>
                <w:rFonts w:cs="Arial"/>
              </w:rPr>
              <w:t>-295</w:t>
            </w:r>
          </w:p>
        </w:tc>
        <w:tc>
          <w:tcPr>
            <w:tcW w:w="1376" w:type="dxa"/>
            <w:tcBorders>
              <w:top w:val="nil"/>
              <w:left w:val="nil"/>
              <w:bottom w:val="single" w:sz="8" w:space="0" w:color="auto"/>
              <w:right w:val="single" w:sz="8" w:space="0" w:color="auto"/>
            </w:tcBorders>
            <w:shd w:val="clear" w:color="auto" w:fill="auto"/>
            <w:vAlign w:val="center"/>
          </w:tcPr>
          <w:p w14:paraId="6724064F" w14:textId="77777777" w:rsidR="008470E0" w:rsidRPr="00EC4755" w:rsidRDefault="008470E0" w:rsidP="004B4AC2">
            <w:pPr>
              <w:jc w:val="right"/>
              <w:rPr>
                <w:rFonts w:cs="Arial"/>
                <w:noProof/>
                <w:sz w:val="22"/>
                <w:szCs w:val="22"/>
                <w:lang w:eastAsia="en-GB"/>
              </w:rPr>
            </w:pPr>
            <w:r w:rsidRPr="00EC4755">
              <w:rPr>
                <w:rFonts w:cs="Arial"/>
              </w:rPr>
              <w:t> </w:t>
            </w:r>
          </w:p>
        </w:tc>
        <w:tc>
          <w:tcPr>
            <w:tcW w:w="1097" w:type="dxa"/>
            <w:tcBorders>
              <w:top w:val="nil"/>
              <w:left w:val="nil"/>
              <w:bottom w:val="single" w:sz="8" w:space="0" w:color="auto"/>
              <w:right w:val="single" w:sz="8" w:space="0" w:color="auto"/>
            </w:tcBorders>
            <w:shd w:val="clear" w:color="auto" w:fill="auto"/>
            <w:vAlign w:val="center"/>
          </w:tcPr>
          <w:p w14:paraId="6C12E1FC" w14:textId="77777777" w:rsidR="008470E0" w:rsidRPr="00EC4755" w:rsidRDefault="008470E0" w:rsidP="004B4AC2">
            <w:pPr>
              <w:jc w:val="right"/>
              <w:rPr>
                <w:rFonts w:cs="Arial"/>
                <w:noProof/>
                <w:sz w:val="22"/>
                <w:szCs w:val="22"/>
                <w:lang w:eastAsia="en-GB"/>
              </w:rPr>
            </w:pPr>
            <w:r w:rsidRPr="00EC4755">
              <w:rPr>
                <w:rFonts w:cs="Arial"/>
              </w:rPr>
              <w:t>-2,054</w:t>
            </w:r>
          </w:p>
        </w:tc>
        <w:tc>
          <w:tcPr>
            <w:tcW w:w="830" w:type="dxa"/>
            <w:tcBorders>
              <w:top w:val="nil"/>
              <w:left w:val="nil"/>
              <w:bottom w:val="single" w:sz="8" w:space="0" w:color="auto"/>
              <w:right w:val="single" w:sz="8" w:space="0" w:color="auto"/>
            </w:tcBorders>
            <w:shd w:val="clear" w:color="auto" w:fill="auto"/>
            <w:vAlign w:val="center"/>
          </w:tcPr>
          <w:p w14:paraId="2B745FDB" w14:textId="77777777" w:rsidR="008470E0" w:rsidRPr="00EC4755" w:rsidRDefault="008470E0" w:rsidP="004B4AC2">
            <w:pPr>
              <w:jc w:val="right"/>
              <w:rPr>
                <w:rFonts w:cs="Arial"/>
                <w:noProof/>
                <w:sz w:val="22"/>
                <w:szCs w:val="22"/>
                <w:lang w:eastAsia="en-GB"/>
              </w:rPr>
            </w:pPr>
            <w:r w:rsidRPr="00EC4755">
              <w:rPr>
                <w:rFonts w:cs="Arial"/>
              </w:rPr>
              <w:t>60%</w:t>
            </w:r>
          </w:p>
        </w:tc>
      </w:tr>
      <w:tr w:rsidR="008470E0" w:rsidRPr="00EC4755" w14:paraId="6CC78DB8"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2BDBCDA0" w14:textId="77777777" w:rsidR="008470E0" w:rsidRPr="00EC4755" w:rsidRDefault="008470E0" w:rsidP="004B4AC2">
            <w:pPr>
              <w:rPr>
                <w:rFonts w:cs="Arial"/>
                <w:b/>
                <w:noProof/>
                <w:sz w:val="22"/>
                <w:szCs w:val="22"/>
                <w:lang w:eastAsia="en-GB"/>
              </w:rPr>
            </w:pPr>
            <w:r w:rsidRPr="00EC4755">
              <w:rPr>
                <w:rFonts w:cs="Arial"/>
                <w:b/>
                <w:bCs/>
                <w:sz w:val="22"/>
                <w:szCs w:val="22"/>
              </w:rPr>
              <w:t>Totals</w:t>
            </w:r>
          </w:p>
        </w:tc>
        <w:tc>
          <w:tcPr>
            <w:tcW w:w="1450" w:type="dxa"/>
            <w:tcBorders>
              <w:top w:val="nil"/>
              <w:left w:val="nil"/>
              <w:bottom w:val="single" w:sz="8" w:space="0" w:color="auto"/>
              <w:right w:val="single" w:sz="8" w:space="0" w:color="auto"/>
            </w:tcBorders>
            <w:shd w:val="clear" w:color="auto" w:fill="auto"/>
            <w:vAlign w:val="center"/>
          </w:tcPr>
          <w:p w14:paraId="2A6C3656" w14:textId="77777777" w:rsidR="008470E0" w:rsidRPr="00EC4755" w:rsidRDefault="008470E0" w:rsidP="004B4AC2">
            <w:pPr>
              <w:jc w:val="right"/>
              <w:rPr>
                <w:rFonts w:cs="Arial"/>
                <w:b/>
                <w:noProof/>
                <w:sz w:val="22"/>
                <w:szCs w:val="22"/>
                <w:lang w:eastAsia="en-GB"/>
              </w:rPr>
            </w:pPr>
            <w:r w:rsidRPr="00EC4755">
              <w:rPr>
                <w:rFonts w:cs="Arial"/>
                <w:b/>
                <w:bCs/>
              </w:rPr>
              <w:t>-1,934</w:t>
            </w:r>
          </w:p>
        </w:tc>
        <w:tc>
          <w:tcPr>
            <w:tcW w:w="1182" w:type="dxa"/>
            <w:tcBorders>
              <w:top w:val="nil"/>
              <w:left w:val="nil"/>
              <w:bottom w:val="single" w:sz="8" w:space="0" w:color="auto"/>
              <w:right w:val="single" w:sz="8" w:space="0" w:color="auto"/>
            </w:tcBorders>
            <w:shd w:val="clear" w:color="auto" w:fill="auto"/>
            <w:vAlign w:val="center"/>
          </w:tcPr>
          <w:p w14:paraId="146D5876" w14:textId="77777777" w:rsidR="008470E0" w:rsidRPr="00EC4755" w:rsidRDefault="008470E0" w:rsidP="004B4AC2">
            <w:pPr>
              <w:jc w:val="right"/>
              <w:rPr>
                <w:rFonts w:cs="Arial"/>
                <w:b/>
                <w:noProof/>
                <w:sz w:val="22"/>
                <w:szCs w:val="22"/>
                <w:lang w:eastAsia="en-GB"/>
              </w:rPr>
            </w:pPr>
            <w:r w:rsidRPr="00EC4755">
              <w:rPr>
                <w:rFonts w:cs="Arial"/>
                <w:b/>
                <w:bCs/>
              </w:rPr>
              <w:t>0</w:t>
            </w:r>
          </w:p>
        </w:tc>
        <w:tc>
          <w:tcPr>
            <w:tcW w:w="1522" w:type="dxa"/>
            <w:tcBorders>
              <w:top w:val="nil"/>
              <w:left w:val="nil"/>
              <w:bottom w:val="single" w:sz="8" w:space="0" w:color="auto"/>
              <w:right w:val="single" w:sz="8" w:space="0" w:color="auto"/>
            </w:tcBorders>
            <w:shd w:val="clear" w:color="auto" w:fill="auto"/>
            <w:vAlign w:val="center"/>
          </w:tcPr>
          <w:p w14:paraId="41E76AD4" w14:textId="77777777" w:rsidR="008470E0" w:rsidRPr="00EC4755" w:rsidRDefault="008470E0" w:rsidP="004B4AC2">
            <w:pPr>
              <w:jc w:val="right"/>
              <w:rPr>
                <w:rFonts w:cs="Arial"/>
                <w:b/>
                <w:noProof/>
                <w:sz w:val="22"/>
                <w:szCs w:val="22"/>
                <w:lang w:eastAsia="en-GB"/>
              </w:rPr>
            </w:pPr>
            <w:r w:rsidRPr="00EC4755">
              <w:rPr>
                <w:rFonts w:cs="Arial"/>
                <w:b/>
                <w:bCs/>
              </w:rPr>
              <w:t>-365</w:t>
            </w:r>
          </w:p>
        </w:tc>
        <w:tc>
          <w:tcPr>
            <w:tcW w:w="1376" w:type="dxa"/>
            <w:tcBorders>
              <w:top w:val="nil"/>
              <w:left w:val="nil"/>
              <w:bottom w:val="single" w:sz="8" w:space="0" w:color="auto"/>
              <w:right w:val="single" w:sz="8" w:space="0" w:color="auto"/>
            </w:tcBorders>
            <w:shd w:val="clear" w:color="auto" w:fill="auto"/>
            <w:vAlign w:val="center"/>
          </w:tcPr>
          <w:p w14:paraId="65FA1730" w14:textId="77777777" w:rsidR="008470E0" w:rsidRPr="00EC4755" w:rsidRDefault="008470E0" w:rsidP="004B4AC2">
            <w:pPr>
              <w:jc w:val="right"/>
              <w:rPr>
                <w:rFonts w:cs="Arial"/>
                <w:b/>
                <w:noProof/>
                <w:sz w:val="22"/>
                <w:szCs w:val="22"/>
                <w:lang w:eastAsia="en-GB"/>
              </w:rPr>
            </w:pPr>
            <w:r w:rsidRPr="00EC4755">
              <w:rPr>
                <w:rFonts w:cs="Arial"/>
                <w:b/>
                <w:bCs/>
              </w:rPr>
              <w:t>-1,144</w:t>
            </w:r>
          </w:p>
        </w:tc>
        <w:tc>
          <w:tcPr>
            <w:tcW w:w="1097" w:type="dxa"/>
            <w:tcBorders>
              <w:top w:val="nil"/>
              <w:left w:val="nil"/>
              <w:bottom w:val="single" w:sz="8" w:space="0" w:color="auto"/>
              <w:right w:val="single" w:sz="8" w:space="0" w:color="auto"/>
            </w:tcBorders>
            <w:shd w:val="clear" w:color="auto" w:fill="auto"/>
            <w:vAlign w:val="center"/>
          </w:tcPr>
          <w:p w14:paraId="465873EA" w14:textId="77777777" w:rsidR="008470E0" w:rsidRPr="00EC4755" w:rsidRDefault="008470E0" w:rsidP="004B4AC2">
            <w:pPr>
              <w:jc w:val="right"/>
              <w:rPr>
                <w:rFonts w:cs="Arial"/>
                <w:b/>
                <w:noProof/>
                <w:sz w:val="22"/>
                <w:szCs w:val="22"/>
                <w:lang w:eastAsia="en-GB"/>
              </w:rPr>
            </w:pPr>
            <w:r w:rsidRPr="00EC4755">
              <w:rPr>
                <w:rFonts w:cs="Arial"/>
                <w:b/>
                <w:bCs/>
              </w:rPr>
              <w:t>-3,443</w:t>
            </w:r>
          </w:p>
        </w:tc>
        <w:tc>
          <w:tcPr>
            <w:tcW w:w="830" w:type="dxa"/>
            <w:tcBorders>
              <w:top w:val="nil"/>
              <w:left w:val="nil"/>
              <w:bottom w:val="single" w:sz="8" w:space="0" w:color="auto"/>
              <w:right w:val="single" w:sz="8" w:space="0" w:color="auto"/>
            </w:tcBorders>
            <w:shd w:val="clear" w:color="auto" w:fill="auto"/>
            <w:vAlign w:val="center"/>
          </w:tcPr>
          <w:p w14:paraId="4A63ABED" w14:textId="77777777" w:rsidR="008470E0" w:rsidRPr="00EC4755" w:rsidRDefault="008470E0" w:rsidP="004B4AC2">
            <w:pPr>
              <w:jc w:val="right"/>
              <w:rPr>
                <w:rFonts w:cs="Arial"/>
                <w:b/>
                <w:noProof/>
                <w:sz w:val="22"/>
                <w:szCs w:val="22"/>
                <w:lang w:eastAsia="en-GB"/>
              </w:rPr>
            </w:pPr>
            <w:r w:rsidRPr="00EC4755">
              <w:rPr>
                <w:rFonts w:cs="Arial"/>
                <w:b/>
                <w:bCs/>
              </w:rPr>
              <w:t>100%</w:t>
            </w:r>
          </w:p>
        </w:tc>
      </w:tr>
    </w:tbl>
    <w:p w14:paraId="3E94B7E4" w14:textId="77777777" w:rsidR="008470E0" w:rsidRPr="00EC4755" w:rsidRDefault="008470E0" w:rsidP="008470E0">
      <w:pPr>
        <w:jc w:val="both"/>
        <w:rPr>
          <w:rFonts w:cs="Arial"/>
          <w:b/>
          <w:szCs w:val="24"/>
          <w:u w:val="single"/>
          <w:lang w:val="en-US"/>
        </w:rPr>
      </w:pPr>
    </w:p>
    <w:p w14:paraId="6C4A1972" w14:textId="77777777" w:rsidR="008470E0" w:rsidRPr="00EC4755" w:rsidRDefault="008470E0" w:rsidP="008470E0">
      <w:pPr>
        <w:pStyle w:val="ListParagraph"/>
        <w:numPr>
          <w:ilvl w:val="0"/>
          <w:numId w:val="6"/>
        </w:numPr>
        <w:ind w:left="460" w:hanging="567"/>
        <w:jc w:val="both"/>
        <w:rPr>
          <w:rFonts w:cs="Arial"/>
          <w:szCs w:val="24"/>
          <w:lang w:val="en-US"/>
        </w:rPr>
      </w:pPr>
      <w:r w:rsidRPr="00EC4755">
        <w:rPr>
          <w:rFonts w:cs="Arial"/>
          <w:bCs/>
          <w:szCs w:val="24"/>
        </w:rPr>
        <w:t>In 2022/23 the MTFS savings total is £3.443m. 35% of these savings are rated red which means that these savings will not be delivered in this financial year.</w:t>
      </w:r>
    </w:p>
    <w:p w14:paraId="71BF2512" w14:textId="77777777" w:rsidR="008470E0" w:rsidRPr="00EC4755" w:rsidRDefault="008470E0" w:rsidP="008470E0">
      <w:pPr>
        <w:pStyle w:val="ListParagraph"/>
        <w:ind w:left="460"/>
        <w:jc w:val="both"/>
        <w:rPr>
          <w:rFonts w:cs="Arial"/>
          <w:szCs w:val="24"/>
          <w:lang w:val="en-US"/>
        </w:rPr>
      </w:pPr>
    </w:p>
    <w:p w14:paraId="4CFE0AB7" w14:textId="77777777" w:rsidR="008470E0" w:rsidRPr="00EC4755" w:rsidRDefault="008470E0" w:rsidP="008470E0">
      <w:pPr>
        <w:pStyle w:val="ListParagraph"/>
        <w:numPr>
          <w:ilvl w:val="0"/>
          <w:numId w:val="6"/>
        </w:numPr>
        <w:ind w:left="460" w:hanging="567"/>
        <w:jc w:val="both"/>
        <w:rPr>
          <w:rFonts w:cs="Arial"/>
          <w:szCs w:val="24"/>
          <w:lang w:val="en-US"/>
        </w:rPr>
      </w:pPr>
      <w:r w:rsidRPr="00EC4755">
        <w:rPr>
          <w:rFonts w:cs="Arial"/>
          <w:bCs/>
          <w:szCs w:val="24"/>
        </w:rPr>
        <w:lastRenderedPageBreak/>
        <w:t>The red savings of £1.209m relate to the following savings:</w:t>
      </w:r>
    </w:p>
    <w:p w14:paraId="48EDECF7" w14:textId="77777777" w:rsidR="008470E0" w:rsidRPr="00EC4755" w:rsidRDefault="008470E0" w:rsidP="008470E0">
      <w:pPr>
        <w:pStyle w:val="ListParagraph"/>
        <w:rPr>
          <w:rFonts w:cs="Arial"/>
          <w:szCs w:val="24"/>
          <w:lang w:val="en-US"/>
        </w:rPr>
      </w:pPr>
    </w:p>
    <w:p w14:paraId="6AA89B71" w14:textId="77777777" w:rsidR="008470E0" w:rsidRPr="00EC4755" w:rsidRDefault="008470E0" w:rsidP="008470E0">
      <w:pPr>
        <w:pStyle w:val="ListParagraph"/>
        <w:numPr>
          <w:ilvl w:val="1"/>
          <w:numId w:val="6"/>
        </w:numPr>
        <w:ind w:left="1134" w:hanging="567"/>
        <w:jc w:val="both"/>
        <w:rPr>
          <w:rFonts w:cs="Arial"/>
          <w:szCs w:val="24"/>
          <w:lang w:val="en-US"/>
        </w:rPr>
      </w:pPr>
      <w:r w:rsidRPr="00EC4755">
        <w:rPr>
          <w:rFonts w:cs="Arial"/>
          <w:szCs w:val="24"/>
          <w:lang w:val="en-US"/>
        </w:rPr>
        <w:t xml:space="preserve">Resources £175k – Customer Services: Reduction in Customer Channels. Cabinet agreed to close the telephone lines for Council Tax and Benefits to reduce the Access Harrow budget by £350k through staff reduction.  The closure was due to take place from 1 October 2020 with the budget reduction being equally split between 2020/21 and 2021/22.  However, Covid-19 prevented the start of the </w:t>
      </w:r>
      <w:proofErr w:type="spellStart"/>
      <w:r w:rsidRPr="00EC4755">
        <w:rPr>
          <w:rFonts w:cs="Arial"/>
          <w:szCs w:val="24"/>
          <w:lang w:val="en-US"/>
        </w:rPr>
        <w:t>programme</w:t>
      </w:r>
      <w:proofErr w:type="spellEnd"/>
      <w:r w:rsidRPr="00EC4755">
        <w:rPr>
          <w:rFonts w:cs="Arial"/>
          <w:szCs w:val="24"/>
          <w:lang w:val="en-US"/>
        </w:rPr>
        <w:t xml:space="preserve"> of work required to channel shift Revenues &amp; Benefits to digital channels. It is anticipated that the work can be carried out over the next nine months.  </w:t>
      </w:r>
    </w:p>
    <w:p w14:paraId="6160247A" w14:textId="77777777" w:rsidR="008470E0" w:rsidRPr="00EC4755" w:rsidRDefault="008470E0" w:rsidP="008470E0">
      <w:pPr>
        <w:pStyle w:val="ListParagraph"/>
        <w:ind w:left="1134"/>
        <w:jc w:val="both"/>
        <w:rPr>
          <w:rFonts w:cs="Arial"/>
          <w:szCs w:val="24"/>
          <w:lang w:val="en-US"/>
        </w:rPr>
      </w:pPr>
    </w:p>
    <w:p w14:paraId="406441C6" w14:textId="77777777" w:rsidR="008470E0" w:rsidRPr="00EC4755" w:rsidRDefault="008470E0" w:rsidP="008470E0">
      <w:pPr>
        <w:pStyle w:val="ListParagraph"/>
        <w:numPr>
          <w:ilvl w:val="1"/>
          <w:numId w:val="6"/>
        </w:numPr>
        <w:ind w:left="1134" w:hanging="567"/>
        <w:jc w:val="both"/>
        <w:rPr>
          <w:rFonts w:cs="Arial"/>
          <w:szCs w:val="24"/>
          <w:lang w:val="en-US"/>
        </w:rPr>
      </w:pPr>
      <w:r w:rsidRPr="00EC4755">
        <w:rPr>
          <w:rFonts w:cs="Arial"/>
          <w:bCs/>
          <w:szCs w:val="24"/>
        </w:rPr>
        <w:t xml:space="preserve">Community £20k – Building Control. Income is adversely impacted by Covid-19 and it is unlikely that any additional income will be generated in 2021/22. </w:t>
      </w:r>
    </w:p>
    <w:p w14:paraId="613C2085" w14:textId="77777777" w:rsidR="008470E0" w:rsidRPr="00EC4755" w:rsidRDefault="008470E0" w:rsidP="008470E0">
      <w:pPr>
        <w:pStyle w:val="ListParagraph"/>
        <w:rPr>
          <w:rFonts w:cs="Arial"/>
          <w:bCs/>
          <w:szCs w:val="24"/>
          <w:lang w:val="en-US"/>
        </w:rPr>
      </w:pPr>
    </w:p>
    <w:p w14:paraId="5AB8751E" w14:textId="77777777" w:rsidR="008470E0" w:rsidRPr="00EC4755" w:rsidRDefault="008470E0" w:rsidP="008470E0">
      <w:pPr>
        <w:pStyle w:val="ListParagraph"/>
        <w:numPr>
          <w:ilvl w:val="1"/>
          <w:numId w:val="6"/>
        </w:numPr>
        <w:ind w:left="1134" w:hanging="567"/>
        <w:jc w:val="both"/>
        <w:rPr>
          <w:rFonts w:cs="Arial"/>
          <w:b/>
          <w:szCs w:val="24"/>
          <w:u w:val="single"/>
          <w:lang w:val="en-US"/>
        </w:rPr>
      </w:pPr>
      <w:r w:rsidRPr="00EC4755">
        <w:rPr>
          <w:rFonts w:cs="Arial"/>
          <w:bCs/>
          <w:szCs w:val="24"/>
          <w:lang w:val="en-US"/>
        </w:rPr>
        <w:t xml:space="preserve">Community £14k – Housing General Fund: </w:t>
      </w:r>
      <w:proofErr w:type="spellStart"/>
      <w:r w:rsidRPr="00EC4755">
        <w:rPr>
          <w:rFonts w:cs="Arial"/>
          <w:bCs/>
          <w:szCs w:val="24"/>
          <w:lang w:val="en-US"/>
        </w:rPr>
        <w:t>Travellors</w:t>
      </w:r>
      <w:proofErr w:type="spellEnd"/>
      <w:r w:rsidRPr="00EC4755">
        <w:rPr>
          <w:rFonts w:cs="Arial"/>
          <w:bCs/>
          <w:szCs w:val="24"/>
          <w:lang w:val="en-US"/>
        </w:rPr>
        <w:t xml:space="preserve"> Site. The Housing service will be unable to carry out this review in 2021/22 to achieve full cost recovery. The saving will be met from within the Housing General Fund in 2021/22. </w:t>
      </w:r>
    </w:p>
    <w:p w14:paraId="7171E1D4" w14:textId="77777777" w:rsidR="008470E0" w:rsidRPr="0008729E" w:rsidRDefault="008470E0" w:rsidP="008470E0">
      <w:pPr>
        <w:pStyle w:val="ListParagraph"/>
        <w:rPr>
          <w:rFonts w:cs="Arial"/>
          <w:bCs/>
          <w:szCs w:val="24"/>
          <w:lang w:val="en-US"/>
        </w:rPr>
      </w:pPr>
    </w:p>
    <w:p w14:paraId="38F16B5E" w14:textId="77777777" w:rsidR="008470E0" w:rsidRPr="0008729E" w:rsidRDefault="008470E0" w:rsidP="008470E0">
      <w:pPr>
        <w:pStyle w:val="ListParagraph"/>
        <w:numPr>
          <w:ilvl w:val="1"/>
          <w:numId w:val="6"/>
        </w:numPr>
        <w:ind w:left="1134" w:hanging="567"/>
        <w:jc w:val="both"/>
        <w:rPr>
          <w:rFonts w:cs="Arial"/>
          <w:b/>
          <w:szCs w:val="24"/>
          <w:u w:val="single"/>
        </w:rPr>
      </w:pPr>
      <w:r w:rsidRPr="0008729E">
        <w:rPr>
          <w:rFonts w:cs="Arial"/>
          <w:bCs/>
          <w:szCs w:val="24"/>
          <w:lang w:val="en-US"/>
        </w:rPr>
        <w:t xml:space="preserve">Corporate £1m – Transformation Savings. </w:t>
      </w:r>
    </w:p>
    <w:p w14:paraId="20B0B79D" w14:textId="77777777" w:rsidR="008470E0" w:rsidRPr="004674C1" w:rsidRDefault="008470E0" w:rsidP="008470E0">
      <w:pPr>
        <w:pStyle w:val="ListParagraph"/>
        <w:ind w:left="6882"/>
        <w:jc w:val="both"/>
        <w:rPr>
          <w:rFonts w:cs="Arial"/>
          <w:b/>
          <w:szCs w:val="24"/>
          <w:u w:val="single"/>
        </w:rPr>
      </w:pPr>
      <w:r w:rsidRPr="00A576F8">
        <w:rPr>
          <w:rFonts w:cs="Arial"/>
          <w:b/>
          <w:color w:val="FF0000"/>
          <w:szCs w:val="24"/>
        </w:rPr>
        <w:t xml:space="preserve">       </w:t>
      </w:r>
    </w:p>
    <w:p w14:paraId="3680B9EF" w14:textId="77777777" w:rsidR="008470E0" w:rsidRPr="004674C1" w:rsidRDefault="008470E0" w:rsidP="008470E0">
      <w:pPr>
        <w:pStyle w:val="ListParagraph"/>
        <w:numPr>
          <w:ilvl w:val="0"/>
          <w:numId w:val="5"/>
        </w:numPr>
        <w:tabs>
          <w:tab w:val="left" w:pos="567"/>
        </w:tabs>
        <w:ind w:left="567" w:hanging="567"/>
        <w:jc w:val="both"/>
        <w:rPr>
          <w:rFonts w:cs="Arial"/>
          <w:b/>
          <w:szCs w:val="24"/>
          <w:u w:val="single"/>
        </w:rPr>
      </w:pPr>
      <w:r w:rsidRPr="004674C1">
        <w:rPr>
          <w:rFonts w:cs="Arial"/>
          <w:b/>
          <w:szCs w:val="24"/>
        </w:rPr>
        <w:t xml:space="preserve"> </w:t>
      </w:r>
      <w:r w:rsidRPr="004674C1">
        <w:rPr>
          <w:rFonts w:cs="Arial"/>
          <w:b/>
          <w:szCs w:val="24"/>
          <w:u w:val="single"/>
        </w:rPr>
        <w:t>CAPITAL PROGRAMME</w:t>
      </w:r>
    </w:p>
    <w:p w14:paraId="0369CCA3" w14:textId="77777777" w:rsidR="008470E0" w:rsidRPr="004674C1" w:rsidRDefault="008470E0" w:rsidP="008470E0">
      <w:pPr>
        <w:tabs>
          <w:tab w:val="left" w:pos="567"/>
        </w:tabs>
        <w:jc w:val="both"/>
        <w:rPr>
          <w:rFonts w:cs="Arial"/>
          <w:b/>
          <w:szCs w:val="24"/>
          <w:u w:val="single"/>
        </w:rPr>
      </w:pPr>
    </w:p>
    <w:p w14:paraId="0CDC2F48" w14:textId="77777777" w:rsidR="008470E0" w:rsidRPr="004674C1" w:rsidRDefault="008470E0" w:rsidP="008470E0">
      <w:pPr>
        <w:pStyle w:val="ListParagraph"/>
        <w:numPr>
          <w:ilvl w:val="0"/>
          <w:numId w:val="5"/>
        </w:numPr>
        <w:tabs>
          <w:tab w:val="left" w:pos="567"/>
        </w:tabs>
        <w:ind w:left="567" w:hanging="567"/>
        <w:jc w:val="both"/>
        <w:rPr>
          <w:rFonts w:cs="Arial"/>
          <w:b/>
          <w:szCs w:val="24"/>
          <w:u w:val="single"/>
        </w:rPr>
      </w:pPr>
      <w:r w:rsidRPr="004674C1">
        <w:rPr>
          <w:rFonts w:cs="Arial"/>
          <w:szCs w:val="24"/>
        </w:rPr>
        <w:t xml:space="preserve">The revised capital budget for 2021/22 is </w:t>
      </w:r>
      <w:r w:rsidRPr="004674C1">
        <w:rPr>
          <w:rFonts w:cs="Arial"/>
          <w:bCs/>
          <w:szCs w:val="24"/>
        </w:rPr>
        <w:t>£212.250m as set out at Table 9:</w:t>
      </w:r>
    </w:p>
    <w:p w14:paraId="760E9B1E" w14:textId="77777777" w:rsidR="008470E0" w:rsidRPr="004674C1" w:rsidRDefault="008470E0" w:rsidP="008470E0">
      <w:pPr>
        <w:ind w:left="567"/>
        <w:rPr>
          <w:rFonts w:cs="Arial"/>
          <w:b/>
          <w:szCs w:val="24"/>
        </w:rPr>
      </w:pPr>
    </w:p>
    <w:p w14:paraId="296B9EEA" w14:textId="1EA43398" w:rsidR="008470E0" w:rsidRPr="004674C1" w:rsidRDefault="004B4AC2" w:rsidP="008470E0">
      <w:pPr>
        <w:rPr>
          <w:rFonts w:cs="Arial"/>
          <w:b/>
          <w:szCs w:val="24"/>
          <w:u w:val="single"/>
        </w:rPr>
      </w:pPr>
      <w:r w:rsidRPr="00442B56">
        <w:rPr>
          <w:noProof/>
        </w:rPr>
        <w:drawing>
          <wp:anchor distT="0" distB="0" distL="114300" distR="114300" simplePos="0" relativeHeight="251658240" behindDoc="1" locked="0" layoutInCell="1" allowOverlap="1" wp14:anchorId="3B79CCDC" wp14:editId="32525BD5">
            <wp:simplePos x="0" y="0"/>
            <wp:positionH relativeFrom="margin">
              <wp:align>left</wp:align>
            </wp:positionH>
            <wp:positionV relativeFrom="paragraph">
              <wp:posOffset>264795</wp:posOffset>
            </wp:positionV>
            <wp:extent cx="5462270" cy="40074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501" cy="400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0E0" w:rsidRPr="004674C1">
        <w:rPr>
          <w:rFonts w:cs="Arial"/>
          <w:b/>
          <w:szCs w:val="24"/>
          <w:u w:val="single"/>
        </w:rPr>
        <w:t>Table 9: Capital Programme 2021/22</w:t>
      </w:r>
    </w:p>
    <w:p w14:paraId="702C2C65" w14:textId="6987ED37" w:rsidR="008470E0" w:rsidRDefault="008470E0" w:rsidP="008470E0">
      <w:pPr>
        <w:ind w:hanging="567"/>
        <w:rPr>
          <w:rFonts w:cs="Arial"/>
          <w:b/>
          <w:color w:val="FF0000"/>
          <w:szCs w:val="24"/>
        </w:rPr>
      </w:pPr>
    </w:p>
    <w:p w14:paraId="26859650" w14:textId="77777777" w:rsidR="008470E0" w:rsidRPr="00953DA3" w:rsidRDefault="008470E0" w:rsidP="008470E0">
      <w:pPr>
        <w:pStyle w:val="ListParagraph"/>
        <w:numPr>
          <w:ilvl w:val="0"/>
          <w:numId w:val="5"/>
        </w:numPr>
        <w:tabs>
          <w:tab w:val="left" w:pos="567"/>
        </w:tabs>
        <w:ind w:left="567" w:right="140" w:hanging="567"/>
        <w:contextualSpacing/>
        <w:jc w:val="both"/>
        <w:rPr>
          <w:rFonts w:cs="Arial"/>
          <w:szCs w:val="24"/>
        </w:rPr>
      </w:pPr>
      <w:r w:rsidRPr="00953DA3">
        <w:rPr>
          <w:rFonts w:cs="Arial"/>
          <w:bCs/>
          <w:szCs w:val="24"/>
        </w:rPr>
        <w:t>The general fund capital programme budget in 2021/22 is £112.486m. The net forecast position on the capital budget at Q1 is £92.204m which represents 82% of the total capital programme budget. The variance of £20.282m is made up of proposed slippage of £18.506m and an underspend of £1.776m.</w:t>
      </w:r>
      <w:r>
        <w:rPr>
          <w:rFonts w:cs="Arial"/>
          <w:bCs/>
          <w:szCs w:val="24"/>
        </w:rPr>
        <w:t xml:space="preserve"> Further details are set out at the following paragraphs.</w:t>
      </w:r>
    </w:p>
    <w:p w14:paraId="6AE4DBBC" w14:textId="77777777" w:rsidR="008470E0" w:rsidRPr="00D42834" w:rsidRDefault="008470E0" w:rsidP="008470E0">
      <w:pPr>
        <w:pStyle w:val="ListParagraph"/>
        <w:tabs>
          <w:tab w:val="left" w:pos="567"/>
        </w:tabs>
        <w:ind w:left="567" w:right="140"/>
        <w:contextualSpacing/>
        <w:jc w:val="both"/>
        <w:rPr>
          <w:rFonts w:cs="Arial"/>
          <w:szCs w:val="24"/>
        </w:rPr>
      </w:pPr>
    </w:p>
    <w:p w14:paraId="68CEB235" w14:textId="77777777" w:rsidR="008470E0" w:rsidRPr="00D42834" w:rsidRDefault="008470E0" w:rsidP="008470E0">
      <w:pPr>
        <w:ind w:left="567" w:right="140"/>
        <w:rPr>
          <w:rFonts w:cs="Arial"/>
          <w:b/>
          <w:szCs w:val="24"/>
        </w:rPr>
      </w:pPr>
      <w:r w:rsidRPr="00D42834">
        <w:rPr>
          <w:rFonts w:cs="Arial"/>
          <w:b/>
          <w:szCs w:val="24"/>
        </w:rPr>
        <w:t>RESOURCES</w:t>
      </w:r>
    </w:p>
    <w:p w14:paraId="5C977F48" w14:textId="77777777" w:rsidR="008470E0" w:rsidRPr="00D42834" w:rsidRDefault="008470E0" w:rsidP="008470E0">
      <w:pPr>
        <w:pStyle w:val="ListParagraph"/>
        <w:ind w:right="140"/>
        <w:rPr>
          <w:rFonts w:cs="Arial"/>
          <w:bCs/>
          <w:szCs w:val="24"/>
        </w:rPr>
      </w:pPr>
    </w:p>
    <w:p w14:paraId="3AFAD9CE" w14:textId="77777777" w:rsidR="008470E0" w:rsidRPr="00D42834" w:rsidRDefault="008470E0" w:rsidP="008470E0">
      <w:pPr>
        <w:pStyle w:val="ListParagraph"/>
        <w:numPr>
          <w:ilvl w:val="0"/>
          <w:numId w:val="5"/>
        </w:numPr>
        <w:tabs>
          <w:tab w:val="left" w:pos="567"/>
        </w:tabs>
        <w:ind w:left="567" w:right="140" w:hanging="567"/>
        <w:contextualSpacing/>
        <w:jc w:val="both"/>
        <w:rPr>
          <w:rFonts w:cs="Arial"/>
          <w:szCs w:val="24"/>
        </w:rPr>
      </w:pPr>
      <w:r w:rsidRPr="00D42834">
        <w:rPr>
          <w:rFonts w:cs="Arial"/>
          <w:szCs w:val="24"/>
        </w:rPr>
        <w:t>As at Q1 the Resources capital programme is forecasting to spend £14.528m which represents 98% of the total budget.</w:t>
      </w:r>
    </w:p>
    <w:p w14:paraId="448275D9" w14:textId="77777777" w:rsidR="008470E0" w:rsidRPr="00D42834" w:rsidRDefault="008470E0" w:rsidP="008470E0">
      <w:pPr>
        <w:pStyle w:val="ListParagraph"/>
        <w:tabs>
          <w:tab w:val="left" w:pos="567"/>
        </w:tabs>
        <w:ind w:left="567" w:right="140"/>
        <w:contextualSpacing/>
        <w:jc w:val="both"/>
        <w:rPr>
          <w:rFonts w:cs="Arial"/>
          <w:szCs w:val="24"/>
        </w:rPr>
      </w:pPr>
    </w:p>
    <w:p w14:paraId="5BEFE0A5" w14:textId="77777777" w:rsidR="008470E0" w:rsidRPr="00D42834" w:rsidRDefault="008470E0" w:rsidP="008470E0">
      <w:pPr>
        <w:pStyle w:val="ListParagraph"/>
        <w:numPr>
          <w:ilvl w:val="0"/>
          <w:numId w:val="5"/>
        </w:numPr>
        <w:tabs>
          <w:tab w:val="left" w:pos="567"/>
        </w:tabs>
        <w:ind w:left="567" w:right="140" w:hanging="567"/>
        <w:contextualSpacing/>
        <w:jc w:val="both"/>
        <w:rPr>
          <w:rFonts w:cs="Arial"/>
          <w:szCs w:val="24"/>
        </w:rPr>
      </w:pPr>
      <w:r w:rsidRPr="00D42834">
        <w:rPr>
          <w:rFonts w:cs="Arial"/>
          <w:szCs w:val="24"/>
        </w:rPr>
        <w:t>There is a variance of £250k in relation to the Careline Devices Replacement Programme and this will be slipped to 2022/23 as the programme is phased over two years.</w:t>
      </w:r>
      <w:r>
        <w:rPr>
          <w:rFonts w:cs="Arial"/>
          <w:szCs w:val="24"/>
        </w:rPr>
        <w:t xml:space="preserve">  There are no revenue implications as a result of this slippage.</w:t>
      </w:r>
    </w:p>
    <w:p w14:paraId="32F586A6" w14:textId="77777777" w:rsidR="008470E0" w:rsidRDefault="008470E0" w:rsidP="008470E0">
      <w:pPr>
        <w:ind w:firstLine="567"/>
        <w:jc w:val="both"/>
        <w:rPr>
          <w:rFonts w:cs="Arial"/>
          <w:b/>
          <w:szCs w:val="24"/>
          <w:lang w:val="en-US"/>
        </w:rPr>
      </w:pPr>
    </w:p>
    <w:p w14:paraId="7434877F" w14:textId="13C2CB14" w:rsidR="008470E0" w:rsidRPr="00BD25D0" w:rsidRDefault="008470E0" w:rsidP="008470E0">
      <w:pPr>
        <w:ind w:firstLine="567"/>
        <w:jc w:val="both"/>
        <w:rPr>
          <w:rFonts w:cs="Arial"/>
          <w:b/>
          <w:szCs w:val="24"/>
          <w:lang w:val="en-US"/>
        </w:rPr>
      </w:pPr>
      <w:r w:rsidRPr="00BD25D0">
        <w:rPr>
          <w:rFonts w:cs="Arial"/>
          <w:b/>
          <w:szCs w:val="24"/>
          <w:lang w:val="en-US"/>
        </w:rPr>
        <w:t xml:space="preserve">COMMUNITY </w:t>
      </w:r>
    </w:p>
    <w:p w14:paraId="1E3F0C99" w14:textId="77777777" w:rsidR="008470E0" w:rsidRPr="00BD25D0" w:rsidRDefault="008470E0" w:rsidP="008470E0">
      <w:pPr>
        <w:pStyle w:val="ListParagraph"/>
        <w:tabs>
          <w:tab w:val="left" w:pos="567"/>
        </w:tabs>
        <w:ind w:left="567"/>
        <w:jc w:val="both"/>
        <w:rPr>
          <w:color w:val="FF0000"/>
          <w:szCs w:val="24"/>
        </w:rPr>
      </w:pPr>
    </w:p>
    <w:p w14:paraId="02CC9CE6" w14:textId="5FB58716" w:rsidR="008470E0" w:rsidRPr="008470E0" w:rsidRDefault="008470E0" w:rsidP="008470E0">
      <w:pPr>
        <w:pStyle w:val="ListParagraph"/>
        <w:numPr>
          <w:ilvl w:val="0"/>
          <w:numId w:val="5"/>
        </w:numPr>
        <w:tabs>
          <w:tab w:val="left" w:pos="567"/>
          <w:tab w:val="left" w:pos="709"/>
        </w:tabs>
        <w:ind w:left="567" w:hanging="567"/>
        <w:jc w:val="both"/>
        <w:rPr>
          <w:rFonts w:cs="Arial"/>
          <w:szCs w:val="24"/>
        </w:rPr>
      </w:pPr>
      <w:r w:rsidRPr="008470E0">
        <w:rPr>
          <w:rFonts w:cs="Arial"/>
          <w:bCs/>
          <w:szCs w:val="24"/>
        </w:rPr>
        <w:t>As at Quarter 1 the Community Directorate forecast is an overall spend of £66.140m which represents 96% of the total budget.</w:t>
      </w:r>
    </w:p>
    <w:p w14:paraId="7EABCBF0" w14:textId="77777777" w:rsidR="008470E0" w:rsidRPr="00BD25D0" w:rsidRDefault="008470E0" w:rsidP="008470E0">
      <w:pPr>
        <w:tabs>
          <w:tab w:val="left" w:pos="709"/>
        </w:tabs>
        <w:jc w:val="both"/>
        <w:rPr>
          <w:rFonts w:cs="Arial"/>
          <w:szCs w:val="24"/>
        </w:rPr>
      </w:pPr>
    </w:p>
    <w:p w14:paraId="1FBBB2B9" w14:textId="77777777" w:rsidR="008470E0" w:rsidRPr="00BD25D0" w:rsidRDefault="008470E0" w:rsidP="008470E0">
      <w:pPr>
        <w:pStyle w:val="ListParagraph"/>
        <w:numPr>
          <w:ilvl w:val="0"/>
          <w:numId w:val="5"/>
        </w:numPr>
        <w:tabs>
          <w:tab w:val="left" w:pos="567"/>
        </w:tabs>
        <w:ind w:left="567" w:hanging="567"/>
        <w:jc w:val="both"/>
        <w:rPr>
          <w:rFonts w:cs="Arial"/>
          <w:szCs w:val="24"/>
        </w:rPr>
      </w:pPr>
      <w:r w:rsidRPr="00BD25D0">
        <w:rPr>
          <w:rFonts w:cs="Arial"/>
          <w:bCs/>
          <w:szCs w:val="24"/>
        </w:rPr>
        <w:t>The forecast variance of £0.850m is planned to be slipped into 2022/23 and £1.776m is forecast as underspend in this year’s Capital Programme.</w:t>
      </w:r>
    </w:p>
    <w:p w14:paraId="7EC42969" w14:textId="77777777" w:rsidR="008470E0" w:rsidRPr="00BD25D0" w:rsidRDefault="008470E0" w:rsidP="008470E0">
      <w:pPr>
        <w:rPr>
          <w:rFonts w:cs="Arial"/>
          <w:szCs w:val="24"/>
        </w:rPr>
      </w:pPr>
    </w:p>
    <w:p w14:paraId="4675A8EA" w14:textId="77777777" w:rsidR="008470E0" w:rsidRPr="00BD25D0" w:rsidRDefault="008470E0" w:rsidP="008470E0">
      <w:pPr>
        <w:pStyle w:val="ListParagraph"/>
        <w:ind w:left="567"/>
        <w:jc w:val="both"/>
        <w:rPr>
          <w:rFonts w:cs="Arial"/>
          <w:b/>
          <w:szCs w:val="24"/>
        </w:rPr>
      </w:pPr>
      <w:r w:rsidRPr="00BD25D0">
        <w:rPr>
          <w:rFonts w:cs="Arial"/>
          <w:b/>
          <w:szCs w:val="24"/>
        </w:rPr>
        <w:t xml:space="preserve">Environment </w:t>
      </w:r>
    </w:p>
    <w:p w14:paraId="2ADDF7F2" w14:textId="77777777" w:rsidR="008470E0" w:rsidRPr="00BD25D0" w:rsidRDefault="008470E0" w:rsidP="008470E0">
      <w:pPr>
        <w:pStyle w:val="ListParagraph"/>
        <w:ind w:left="567"/>
        <w:jc w:val="both"/>
        <w:rPr>
          <w:rFonts w:cs="Arial"/>
          <w:szCs w:val="24"/>
        </w:rPr>
      </w:pPr>
    </w:p>
    <w:p w14:paraId="207DB7B6" w14:textId="77777777" w:rsidR="008470E0" w:rsidRPr="00BD25D0" w:rsidRDefault="008470E0" w:rsidP="008470E0">
      <w:pPr>
        <w:pStyle w:val="ListParagraph"/>
        <w:numPr>
          <w:ilvl w:val="0"/>
          <w:numId w:val="5"/>
        </w:numPr>
        <w:tabs>
          <w:tab w:val="left" w:pos="567"/>
        </w:tabs>
        <w:ind w:left="567" w:hanging="567"/>
        <w:jc w:val="both"/>
        <w:rPr>
          <w:rFonts w:cs="Arial"/>
          <w:szCs w:val="24"/>
        </w:rPr>
      </w:pPr>
      <w:r w:rsidRPr="00BD25D0">
        <w:rPr>
          <w:rFonts w:cs="Arial"/>
          <w:szCs w:val="24"/>
        </w:rPr>
        <w:t xml:space="preserve">The services forecast to spend £35.117m in 2021/22 and to slip a budget of £0.060m to 2022/23. £1.691m is reported as budget underspend. Projects with a budget variance are summarised below. </w:t>
      </w:r>
    </w:p>
    <w:p w14:paraId="11FD8ED2" w14:textId="77777777" w:rsidR="008470E0" w:rsidRPr="00BD25D0" w:rsidRDefault="008470E0" w:rsidP="008470E0">
      <w:pPr>
        <w:pStyle w:val="ListParagraph"/>
        <w:jc w:val="both"/>
        <w:rPr>
          <w:rFonts w:cs="Arial"/>
          <w:szCs w:val="24"/>
        </w:rPr>
      </w:pPr>
    </w:p>
    <w:p w14:paraId="475CCFA0" w14:textId="77777777" w:rsidR="008470E0" w:rsidRPr="00BD25D0" w:rsidRDefault="008470E0" w:rsidP="008470E0">
      <w:pPr>
        <w:pStyle w:val="ListParagraph"/>
        <w:numPr>
          <w:ilvl w:val="0"/>
          <w:numId w:val="5"/>
        </w:numPr>
        <w:ind w:left="567" w:hanging="567"/>
        <w:jc w:val="both"/>
        <w:rPr>
          <w:rFonts w:cs="Arial"/>
          <w:szCs w:val="24"/>
        </w:rPr>
      </w:pPr>
      <w:r w:rsidRPr="00BD25D0">
        <w:rPr>
          <w:rFonts w:cs="Arial"/>
          <w:szCs w:val="24"/>
        </w:rPr>
        <w:t>There are a couple of major transport infrastructure projects in Wealdstone area in the capital programme – Bus Improvements scheme and Liveable Neighbourhood. Both projects require significant external funding from TfL supported by a match fund from BCIL. TfL funding has been adversely affected by the C</w:t>
      </w:r>
      <w:r>
        <w:rPr>
          <w:rFonts w:cs="Arial"/>
          <w:szCs w:val="24"/>
        </w:rPr>
        <w:t>ovid</w:t>
      </w:r>
      <w:r w:rsidRPr="00BD25D0">
        <w:rPr>
          <w:rFonts w:cs="Arial"/>
          <w:szCs w:val="24"/>
        </w:rPr>
        <w:t xml:space="preserve">-19 pandemic. Following its funding review, TfL confirmed the release of the funding for the bus improvements scheme in 2021/22 to continue the works that started in the previous financial year. However, no funding has been allocated for Liveable Neighbourhood. £300k was originally assumed to be allocated in 2021/22 capital programme, and this is forecast as an underspend until there is any update from TfL funding. </w:t>
      </w:r>
    </w:p>
    <w:p w14:paraId="4E9615F3" w14:textId="77777777" w:rsidR="008470E0" w:rsidRPr="00BD25D0" w:rsidRDefault="008470E0" w:rsidP="008470E0">
      <w:pPr>
        <w:pStyle w:val="ListParagraph"/>
        <w:rPr>
          <w:rFonts w:cs="Arial"/>
          <w:szCs w:val="24"/>
        </w:rPr>
      </w:pPr>
    </w:p>
    <w:p w14:paraId="6ED4E989" w14:textId="77777777" w:rsidR="008470E0" w:rsidRPr="00BD25D0" w:rsidRDefault="008470E0" w:rsidP="008470E0">
      <w:pPr>
        <w:pStyle w:val="ListParagraph"/>
        <w:numPr>
          <w:ilvl w:val="0"/>
          <w:numId w:val="5"/>
        </w:numPr>
        <w:ind w:left="567" w:hanging="567"/>
        <w:jc w:val="both"/>
        <w:rPr>
          <w:rFonts w:cs="Arial"/>
          <w:szCs w:val="24"/>
        </w:rPr>
      </w:pPr>
      <w:r w:rsidRPr="00BD25D0">
        <w:rPr>
          <w:rFonts w:cs="Arial"/>
          <w:szCs w:val="24"/>
        </w:rPr>
        <w:t xml:space="preserve">TfL funding update is awaited on the annual Local Implementation Plan, therefore the budget of £1.391m in the capital programme is reported as an underspend at this stage. </w:t>
      </w:r>
    </w:p>
    <w:p w14:paraId="791019F0" w14:textId="77777777" w:rsidR="008470E0" w:rsidRPr="00BD25D0" w:rsidRDefault="008470E0" w:rsidP="008470E0">
      <w:pPr>
        <w:pStyle w:val="ListParagraph"/>
        <w:rPr>
          <w:rFonts w:cs="Arial"/>
          <w:szCs w:val="24"/>
        </w:rPr>
      </w:pPr>
    </w:p>
    <w:p w14:paraId="79BFFF0D" w14:textId="77777777" w:rsidR="008470E0" w:rsidRPr="00BD25D0" w:rsidRDefault="008470E0" w:rsidP="008470E0">
      <w:pPr>
        <w:pStyle w:val="ListParagraph"/>
        <w:numPr>
          <w:ilvl w:val="0"/>
          <w:numId w:val="5"/>
        </w:numPr>
        <w:ind w:left="567" w:hanging="567"/>
        <w:jc w:val="both"/>
        <w:rPr>
          <w:rFonts w:cs="Arial"/>
          <w:szCs w:val="24"/>
        </w:rPr>
      </w:pPr>
      <w:r w:rsidRPr="00BD25D0">
        <w:rPr>
          <w:rFonts w:cs="Arial"/>
          <w:szCs w:val="24"/>
        </w:rPr>
        <w:t xml:space="preserve">There is a budget of £0.060m allocated for vehicles procurement in 2021/22. This is primarily for the replacement of a couple of vans and cars according to their age profile. Following an assessment on vehicles’ condition, it is decided that the vehicles are to be kept for another year and therefore this budget is slipped to 2022/23. </w:t>
      </w:r>
    </w:p>
    <w:p w14:paraId="592DFD8B" w14:textId="77777777" w:rsidR="00150E56" w:rsidRDefault="00150E56" w:rsidP="008470E0">
      <w:pPr>
        <w:ind w:left="567"/>
        <w:jc w:val="both"/>
        <w:rPr>
          <w:rFonts w:cs="Arial"/>
          <w:b/>
          <w:szCs w:val="24"/>
        </w:rPr>
      </w:pPr>
    </w:p>
    <w:p w14:paraId="55A88118" w14:textId="22E57E60" w:rsidR="008470E0" w:rsidRPr="00BD25D0" w:rsidRDefault="008470E0" w:rsidP="008470E0">
      <w:pPr>
        <w:ind w:left="567"/>
        <w:jc w:val="both"/>
        <w:rPr>
          <w:rFonts w:cs="Arial"/>
          <w:b/>
          <w:szCs w:val="24"/>
        </w:rPr>
      </w:pPr>
      <w:r w:rsidRPr="00BD25D0">
        <w:rPr>
          <w:rFonts w:cs="Arial"/>
          <w:b/>
          <w:szCs w:val="24"/>
        </w:rPr>
        <w:t>Culture</w:t>
      </w:r>
    </w:p>
    <w:p w14:paraId="3C6D5ACC" w14:textId="77777777" w:rsidR="008470E0" w:rsidRDefault="008470E0" w:rsidP="008470E0">
      <w:pPr>
        <w:pStyle w:val="ListParagraph"/>
        <w:tabs>
          <w:tab w:val="left" w:pos="567"/>
        </w:tabs>
        <w:ind w:left="567"/>
        <w:jc w:val="both"/>
        <w:rPr>
          <w:rFonts w:cs="Arial"/>
          <w:szCs w:val="24"/>
        </w:rPr>
      </w:pPr>
    </w:p>
    <w:p w14:paraId="4A411F39" w14:textId="77777777" w:rsidR="008470E0" w:rsidRPr="00BD25D0" w:rsidRDefault="008470E0" w:rsidP="008470E0">
      <w:pPr>
        <w:pStyle w:val="ListParagraph"/>
        <w:numPr>
          <w:ilvl w:val="0"/>
          <w:numId w:val="5"/>
        </w:numPr>
        <w:tabs>
          <w:tab w:val="left" w:pos="567"/>
        </w:tabs>
        <w:ind w:left="567" w:hanging="567"/>
        <w:jc w:val="both"/>
        <w:rPr>
          <w:rFonts w:cs="Arial"/>
          <w:szCs w:val="24"/>
        </w:rPr>
      </w:pPr>
      <w:r w:rsidRPr="00BD25D0">
        <w:rPr>
          <w:rFonts w:cs="Arial"/>
          <w:szCs w:val="24"/>
        </w:rPr>
        <w:t xml:space="preserve">The services forecast to spend £2.708m in 2021/22 and to slip a budget of £0.250m to 2022/23. Projects with a budget variance are summarised below. </w:t>
      </w:r>
    </w:p>
    <w:p w14:paraId="3F57A2C0" w14:textId="77777777" w:rsidR="008470E0" w:rsidRPr="00BD25D0" w:rsidRDefault="008470E0" w:rsidP="008470E0">
      <w:pPr>
        <w:rPr>
          <w:rFonts w:cs="Arial"/>
          <w:szCs w:val="24"/>
        </w:rPr>
      </w:pPr>
    </w:p>
    <w:p w14:paraId="200B7FCF" w14:textId="77777777" w:rsidR="008470E0" w:rsidRPr="00BD25D0" w:rsidRDefault="008470E0" w:rsidP="008470E0">
      <w:pPr>
        <w:pStyle w:val="ListParagraph"/>
        <w:numPr>
          <w:ilvl w:val="0"/>
          <w:numId w:val="5"/>
        </w:numPr>
        <w:tabs>
          <w:tab w:val="left" w:pos="567"/>
        </w:tabs>
        <w:ind w:left="567" w:hanging="567"/>
        <w:jc w:val="both"/>
        <w:rPr>
          <w:rFonts w:cs="Arial"/>
          <w:szCs w:val="24"/>
        </w:rPr>
      </w:pPr>
      <w:r w:rsidRPr="00BD25D0">
        <w:rPr>
          <w:rFonts w:cs="Arial"/>
          <w:szCs w:val="24"/>
        </w:rPr>
        <w:t>Harrow Arts Centre refurbishment. This project is for multiple years and is funded by the GLA and BCIL. Works are underway and the procurement for the New Build phase is complete. Based on the latest project timeline, it is forecast to spend £1.763m in 2021/22 and the rest of the budget profiled in this year (£250k) will be slipped to 2022/23.</w:t>
      </w:r>
    </w:p>
    <w:p w14:paraId="7432FCCA" w14:textId="77777777" w:rsidR="008470E0" w:rsidRPr="00BD25D0" w:rsidRDefault="008470E0" w:rsidP="008470E0">
      <w:pPr>
        <w:pStyle w:val="ListParagraph"/>
        <w:rPr>
          <w:rFonts w:cs="Arial"/>
          <w:szCs w:val="24"/>
        </w:rPr>
      </w:pPr>
    </w:p>
    <w:p w14:paraId="6318D45B" w14:textId="77777777" w:rsidR="008470E0" w:rsidRPr="00BD25D0" w:rsidRDefault="008470E0" w:rsidP="008470E0">
      <w:pPr>
        <w:pStyle w:val="ListParagraph"/>
        <w:tabs>
          <w:tab w:val="left" w:pos="709"/>
        </w:tabs>
        <w:ind w:left="567"/>
        <w:jc w:val="both"/>
        <w:rPr>
          <w:rFonts w:cs="Arial"/>
          <w:b/>
          <w:szCs w:val="24"/>
        </w:rPr>
      </w:pPr>
      <w:r w:rsidRPr="00BD25D0">
        <w:rPr>
          <w:rFonts w:cs="Arial"/>
          <w:b/>
          <w:szCs w:val="24"/>
        </w:rPr>
        <w:t>Enterprise &amp; Planning</w:t>
      </w:r>
    </w:p>
    <w:p w14:paraId="4A979461" w14:textId="77777777" w:rsidR="008470E0" w:rsidRPr="00BD25D0" w:rsidRDefault="008470E0" w:rsidP="008470E0">
      <w:pPr>
        <w:pStyle w:val="ListParagraph"/>
        <w:tabs>
          <w:tab w:val="left" w:pos="709"/>
        </w:tabs>
        <w:ind w:left="567"/>
        <w:jc w:val="both"/>
        <w:rPr>
          <w:rFonts w:cs="Arial"/>
          <w:szCs w:val="24"/>
        </w:rPr>
      </w:pPr>
    </w:p>
    <w:p w14:paraId="3424279A" w14:textId="77777777" w:rsidR="008470E0" w:rsidRPr="00BD25D0" w:rsidRDefault="008470E0" w:rsidP="008470E0">
      <w:pPr>
        <w:pStyle w:val="ListParagraph"/>
        <w:numPr>
          <w:ilvl w:val="0"/>
          <w:numId w:val="5"/>
        </w:numPr>
        <w:tabs>
          <w:tab w:val="left" w:pos="709"/>
        </w:tabs>
        <w:ind w:left="567" w:hanging="567"/>
        <w:jc w:val="both"/>
        <w:rPr>
          <w:rFonts w:cs="Arial"/>
          <w:szCs w:val="24"/>
        </w:rPr>
      </w:pPr>
      <w:r w:rsidRPr="00BD25D0">
        <w:rPr>
          <w:rFonts w:cs="Arial"/>
          <w:szCs w:val="24"/>
        </w:rPr>
        <w:t>The services forecast to spend £4.344m and to slip a budget of £0.540m to 2022/23. Projects with a budget variance are summarised below.</w:t>
      </w:r>
    </w:p>
    <w:p w14:paraId="6A101B08" w14:textId="77777777" w:rsidR="008470E0" w:rsidRPr="00BD25D0" w:rsidRDefault="008470E0" w:rsidP="008470E0">
      <w:pPr>
        <w:pStyle w:val="ListParagraph"/>
        <w:tabs>
          <w:tab w:val="left" w:pos="709"/>
        </w:tabs>
        <w:ind w:left="567"/>
        <w:jc w:val="both"/>
        <w:rPr>
          <w:rFonts w:cs="Arial"/>
          <w:szCs w:val="24"/>
        </w:rPr>
      </w:pPr>
    </w:p>
    <w:p w14:paraId="06E9E4D1" w14:textId="77777777" w:rsidR="008470E0" w:rsidRPr="00BD25D0" w:rsidRDefault="008470E0" w:rsidP="008470E0">
      <w:pPr>
        <w:pStyle w:val="ListParagraph"/>
        <w:numPr>
          <w:ilvl w:val="0"/>
          <w:numId w:val="5"/>
        </w:numPr>
        <w:tabs>
          <w:tab w:val="left" w:pos="709"/>
        </w:tabs>
        <w:ind w:left="567" w:hanging="567"/>
        <w:jc w:val="both"/>
        <w:rPr>
          <w:rFonts w:cs="Arial"/>
          <w:szCs w:val="24"/>
        </w:rPr>
      </w:pPr>
      <w:r w:rsidRPr="00BD25D0">
        <w:rPr>
          <w:rFonts w:cs="Arial"/>
          <w:szCs w:val="24"/>
        </w:rPr>
        <w:t xml:space="preserve">The Wealdstone Future High Street Fund project is funded by MHCLG with a match fund from BCIL. There is a total budget of £9.209m over 3 years. £1.500m was originally estimated for year 1 when the Capital Programme was prepared. Subsequent reviews of the project plan and </w:t>
      </w:r>
      <w:r w:rsidRPr="00BD25D0">
        <w:rPr>
          <w:rFonts w:cs="Arial"/>
          <w:szCs w:val="24"/>
        </w:rPr>
        <w:lastRenderedPageBreak/>
        <w:t>the signing of the Memorandum of Understanding confirm the funding profiled to year 1 of £0.960m. Therefore the £0.540m in 2021/22 is forecast to be slipped to 2022/23.</w:t>
      </w:r>
    </w:p>
    <w:p w14:paraId="55FBD069" w14:textId="77777777" w:rsidR="008470E0" w:rsidRPr="00BD25D0" w:rsidRDefault="008470E0" w:rsidP="008470E0">
      <w:pPr>
        <w:pStyle w:val="ListParagraph"/>
        <w:tabs>
          <w:tab w:val="left" w:pos="709"/>
        </w:tabs>
        <w:ind w:left="567"/>
        <w:jc w:val="both"/>
        <w:rPr>
          <w:rFonts w:cs="Arial"/>
          <w:szCs w:val="24"/>
        </w:rPr>
      </w:pPr>
    </w:p>
    <w:p w14:paraId="3877259C" w14:textId="77777777" w:rsidR="008470E0" w:rsidRPr="00BD25D0" w:rsidRDefault="008470E0" w:rsidP="008470E0">
      <w:pPr>
        <w:pStyle w:val="ListParagraph"/>
        <w:numPr>
          <w:ilvl w:val="0"/>
          <w:numId w:val="5"/>
        </w:numPr>
        <w:ind w:left="567" w:hanging="567"/>
        <w:jc w:val="both"/>
        <w:rPr>
          <w:rFonts w:cs="Arial"/>
          <w:szCs w:val="24"/>
        </w:rPr>
      </w:pPr>
      <w:r w:rsidRPr="00BD25D0">
        <w:rPr>
          <w:rFonts w:cs="Arial"/>
          <w:szCs w:val="24"/>
        </w:rPr>
        <w:t>Unless explicitly stated above there are no revenue implications as a result of the slippage.</w:t>
      </w:r>
    </w:p>
    <w:p w14:paraId="4DEAA6DD" w14:textId="77777777" w:rsidR="008470E0" w:rsidRPr="00BD25D0" w:rsidRDefault="008470E0" w:rsidP="008470E0">
      <w:pPr>
        <w:pStyle w:val="ListParagraph"/>
        <w:tabs>
          <w:tab w:val="left" w:pos="709"/>
        </w:tabs>
        <w:ind w:left="567"/>
        <w:jc w:val="both"/>
        <w:rPr>
          <w:rFonts w:cs="Arial"/>
          <w:szCs w:val="24"/>
        </w:rPr>
      </w:pPr>
    </w:p>
    <w:p w14:paraId="3E105A48" w14:textId="77777777" w:rsidR="008470E0" w:rsidRPr="00BD25D0" w:rsidRDefault="008470E0" w:rsidP="008470E0">
      <w:pPr>
        <w:pStyle w:val="ListParagraph"/>
        <w:tabs>
          <w:tab w:val="left" w:pos="709"/>
        </w:tabs>
        <w:ind w:left="567"/>
        <w:jc w:val="both"/>
        <w:rPr>
          <w:rFonts w:cs="Arial"/>
          <w:b/>
          <w:szCs w:val="24"/>
        </w:rPr>
      </w:pPr>
      <w:r w:rsidRPr="00BD25D0">
        <w:rPr>
          <w:rFonts w:cs="Arial"/>
          <w:b/>
          <w:szCs w:val="24"/>
        </w:rPr>
        <w:t>Housing General Fund</w:t>
      </w:r>
    </w:p>
    <w:p w14:paraId="14644883" w14:textId="77777777" w:rsidR="008470E0" w:rsidRPr="00BD25D0" w:rsidRDefault="008470E0" w:rsidP="008470E0">
      <w:pPr>
        <w:pStyle w:val="ListParagraph"/>
        <w:tabs>
          <w:tab w:val="left" w:pos="709"/>
        </w:tabs>
        <w:ind w:left="567"/>
        <w:jc w:val="both"/>
        <w:rPr>
          <w:rFonts w:cs="Arial"/>
          <w:b/>
          <w:szCs w:val="24"/>
          <w:u w:val="single"/>
        </w:rPr>
      </w:pPr>
    </w:p>
    <w:p w14:paraId="663E8096" w14:textId="77777777" w:rsidR="008470E0" w:rsidRPr="00BD25D0" w:rsidRDefault="008470E0" w:rsidP="008470E0">
      <w:pPr>
        <w:pStyle w:val="ListParagraph"/>
        <w:numPr>
          <w:ilvl w:val="0"/>
          <w:numId w:val="5"/>
        </w:numPr>
        <w:tabs>
          <w:tab w:val="left" w:pos="567"/>
        </w:tabs>
        <w:ind w:left="567" w:hanging="567"/>
        <w:jc w:val="both"/>
        <w:rPr>
          <w:rFonts w:cs="Arial"/>
          <w:szCs w:val="24"/>
        </w:rPr>
      </w:pPr>
      <w:r w:rsidRPr="00BD25D0">
        <w:rPr>
          <w:rFonts w:cs="Arial"/>
          <w:bCs/>
          <w:szCs w:val="24"/>
        </w:rPr>
        <w:t xml:space="preserve"> </w:t>
      </w:r>
      <w:r w:rsidRPr="00BD25D0">
        <w:rPr>
          <w:rFonts w:cs="Arial"/>
          <w:szCs w:val="24"/>
        </w:rPr>
        <w:t xml:space="preserve">The services forecast to spend £12.263m in 2021/22.  £0.085m is reported as a budget underspend. Projects with a budget variance are summarised below. </w:t>
      </w:r>
    </w:p>
    <w:p w14:paraId="06D7E0C6" w14:textId="77777777" w:rsidR="008470E0" w:rsidRPr="00BD25D0" w:rsidRDefault="008470E0" w:rsidP="008470E0">
      <w:pPr>
        <w:tabs>
          <w:tab w:val="left" w:pos="567"/>
        </w:tabs>
        <w:jc w:val="both"/>
        <w:rPr>
          <w:rFonts w:cs="Arial"/>
          <w:szCs w:val="24"/>
        </w:rPr>
      </w:pPr>
    </w:p>
    <w:p w14:paraId="22D6BD16" w14:textId="26F77395" w:rsidR="008470E0" w:rsidRPr="00BD25D0" w:rsidRDefault="008470E0" w:rsidP="008470E0">
      <w:pPr>
        <w:tabs>
          <w:tab w:val="left" w:pos="567"/>
          <w:tab w:val="left" w:pos="709"/>
        </w:tabs>
        <w:ind w:left="567" w:hanging="567"/>
        <w:jc w:val="both"/>
        <w:rPr>
          <w:rFonts w:cs="Arial"/>
          <w:szCs w:val="24"/>
        </w:rPr>
      </w:pPr>
      <w:r w:rsidRPr="00BD25D0">
        <w:rPr>
          <w:rFonts w:cs="Arial"/>
          <w:szCs w:val="24"/>
        </w:rPr>
        <w:t>3.12 Additional DFG grant was carried forward at 2020/21-year end resulting in a corresponding £0.085m reduction in borrowing requirement for 2021/22.</w:t>
      </w:r>
    </w:p>
    <w:p w14:paraId="2320AE77" w14:textId="77777777" w:rsidR="008470E0" w:rsidRDefault="008470E0" w:rsidP="008470E0">
      <w:pPr>
        <w:tabs>
          <w:tab w:val="left" w:pos="709"/>
        </w:tabs>
        <w:jc w:val="both"/>
        <w:rPr>
          <w:rFonts w:cs="Arial"/>
          <w:bCs/>
          <w:szCs w:val="24"/>
        </w:rPr>
      </w:pPr>
      <w:r w:rsidRPr="00BD25D0">
        <w:rPr>
          <w:rFonts w:cs="Arial"/>
          <w:bCs/>
          <w:szCs w:val="24"/>
        </w:rPr>
        <w:t xml:space="preserve">  </w:t>
      </w:r>
    </w:p>
    <w:p w14:paraId="37D1CAEC" w14:textId="77777777" w:rsidR="008470E0" w:rsidRPr="00BD25D0" w:rsidRDefault="008470E0" w:rsidP="008470E0">
      <w:pPr>
        <w:pStyle w:val="ListParagraph"/>
        <w:tabs>
          <w:tab w:val="left" w:pos="709"/>
        </w:tabs>
        <w:ind w:left="567"/>
        <w:jc w:val="both"/>
        <w:rPr>
          <w:rFonts w:cs="Arial"/>
          <w:b/>
          <w:szCs w:val="24"/>
        </w:rPr>
      </w:pPr>
      <w:bookmarkStart w:id="7" w:name="_Hlk78273292"/>
      <w:r w:rsidRPr="00BD25D0">
        <w:rPr>
          <w:rFonts w:cs="Arial"/>
          <w:b/>
          <w:szCs w:val="24"/>
        </w:rPr>
        <w:t>Regeneration</w:t>
      </w:r>
    </w:p>
    <w:p w14:paraId="06628259" w14:textId="77777777" w:rsidR="008470E0" w:rsidRPr="00BD25D0" w:rsidRDefault="008470E0" w:rsidP="008470E0">
      <w:pPr>
        <w:pStyle w:val="ListParagraph"/>
        <w:tabs>
          <w:tab w:val="left" w:pos="709"/>
        </w:tabs>
        <w:ind w:left="567"/>
        <w:jc w:val="both"/>
        <w:rPr>
          <w:rFonts w:cs="Arial"/>
          <w:b/>
          <w:szCs w:val="24"/>
          <w:u w:val="single"/>
        </w:rPr>
      </w:pPr>
    </w:p>
    <w:p w14:paraId="33843F1A" w14:textId="0255DAAC" w:rsidR="00150E56" w:rsidRDefault="008470E0" w:rsidP="00150E56">
      <w:pPr>
        <w:ind w:left="567" w:hanging="567"/>
        <w:rPr>
          <w:rFonts w:cs="Arial"/>
          <w:b/>
          <w:bCs/>
        </w:rPr>
      </w:pPr>
      <w:r w:rsidRPr="00BD25D0">
        <w:rPr>
          <w:rFonts w:cs="Arial"/>
          <w:szCs w:val="24"/>
        </w:rPr>
        <w:t xml:space="preserve">3.13   At this stage, the service is forecasting spend to budget. There are some known risks to this position identified on </w:t>
      </w:r>
      <w:proofErr w:type="spellStart"/>
      <w:r w:rsidRPr="00BD25D0">
        <w:rPr>
          <w:rFonts w:cs="Arial"/>
          <w:szCs w:val="24"/>
        </w:rPr>
        <w:t>Waxwell</w:t>
      </w:r>
      <w:proofErr w:type="spellEnd"/>
      <w:r w:rsidRPr="00BD25D0">
        <w:rPr>
          <w:rFonts w:cs="Arial"/>
          <w:szCs w:val="24"/>
        </w:rPr>
        <w:t xml:space="preserve"> Lane (£0.220m) due to some immature Japanese Knotweed identified on site, boundary tree issues, design and drainage issues but at this stage it is thought this will be contained within the existing budget.</w:t>
      </w:r>
      <w:bookmarkEnd w:id="7"/>
    </w:p>
    <w:p w14:paraId="03021AA5" w14:textId="77777777" w:rsidR="00150E56" w:rsidRDefault="00150E56" w:rsidP="008470E0">
      <w:pPr>
        <w:pStyle w:val="ListParagraph"/>
        <w:tabs>
          <w:tab w:val="left" w:pos="142"/>
          <w:tab w:val="left" w:pos="284"/>
          <w:tab w:val="left" w:pos="709"/>
        </w:tabs>
        <w:ind w:left="709"/>
        <w:jc w:val="both"/>
        <w:rPr>
          <w:rFonts w:cs="Arial"/>
          <w:b/>
          <w:bCs/>
        </w:rPr>
      </w:pPr>
    </w:p>
    <w:p w14:paraId="09178997" w14:textId="77777777" w:rsidR="00150E56" w:rsidRDefault="00150E56" w:rsidP="008470E0">
      <w:pPr>
        <w:pStyle w:val="ListParagraph"/>
        <w:tabs>
          <w:tab w:val="left" w:pos="142"/>
          <w:tab w:val="left" w:pos="284"/>
          <w:tab w:val="left" w:pos="709"/>
        </w:tabs>
        <w:ind w:left="709"/>
        <w:jc w:val="both"/>
        <w:rPr>
          <w:rFonts w:cs="Arial"/>
          <w:b/>
          <w:bCs/>
        </w:rPr>
      </w:pPr>
    </w:p>
    <w:p w14:paraId="72B88483" w14:textId="77777777" w:rsidR="00150E56" w:rsidRDefault="00150E56" w:rsidP="008470E0">
      <w:pPr>
        <w:pStyle w:val="ListParagraph"/>
        <w:tabs>
          <w:tab w:val="left" w:pos="142"/>
          <w:tab w:val="left" w:pos="284"/>
          <w:tab w:val="left" w:pos="709"/>
        </w:tabs>
        <w:ind w:left="709"/>
        <w:jc w:val="both"/>
        <w:rPr>
          <w:rFonts w:cs="Arial"/>
          <w:b/>
          <w:bCs/>
        </w:rPr>
      </w:pPr>
    </w:p>
    <w:p w14:paraId="11B05301" w14:textId="77777777" w:rsidR="00150E56" w:rsidRDefault="00150E56" w:rsidP="008470E0">
      <w:pPr>
        <w:pStyle w:val="ListParagraph"/>
        <w:tabs>
          <w:tab w:val="left" w:pos="142"/>
          <w:tab w:val="left" w:pos="284"/>
          <w:tab w:val="left" w:pos="709"/>
        </w:tabs>
        <w:ind w:left="709"/>
        <w:jc w:val="both"/>
        <w:rPr>
          <w:rFonts w:cs="Arial"/>
          <w:b/>
          <w:bCs/>
        </w:rPr>
      </w:pPr>
    </w:p>
    <w:p w14:paraId="5386F822" w14:textId="77777777" w:rsidR="00150E56" w:rsidRDefault="00150E56" w:rsidP="008470E0">
      <w:pPr>
        <w:pStyle w:val="ListParagraph"/>
        <w:tabs>
          <w:tab w:val="left" w:pos="142"/>
          <w:tab w:val="left" w:pos="284"/>
          <w:tab w:val="left" w:pos="709"/>
        </w:tabs>
        <w:ind w:left="709"/>
        <w:jc w:val="both"/>
        <w:rPr>
          <w:rFonts w:cs="Arial"/>
          <w:b/>
          <w:bCs/>
        </w:rPr>
      </w:pPr>
    </w:p>
    <w:p w14:paraId="3FB90852" w14:textId="346CF886" w:rsidR="008470E0" w:rsidRPr="00261CAE" w:rsidRDefault="008470E0" w:rsidP="008470E0">
      <w:pPr>
        <w:pStyle w:val="ListParagraph"/>
        <w:tabs>
          <w:tab w:val="left" w:pos="142"/>
          <w:tab w:val="left" w:pos="284"/>
          <w:tab w:val="left" w:pos="709"/>
        </w:tabs>
        <w:ind w:left="709"/>
        <w:jc w:val="both"/>
        <w:rPr>
          <w:rFonts w:cs="Arial"/>
          <w:b/>
          <w:bCs/>
        </w:rPr>
      </w:pPr>
      <w:r w:rsidRPr="00261CAE">
        <w:rPr>
          <w:rFonts w:cs="Arial"/>
          <w:b/>
          <w:bCs/>
        </w:rPr>
        <w:t>PEOPLE SERVICES</w:t>
      </w:r>
    </w:p>
    <w:p w14:paraId="3881112C" w14:textId="77777777" w:rsidR="008470E0" w:rsidRPr="00261CAE" w:rsidRDefault="008470E0" w:rsidP="008470E0">
      <w:pPr>
        <w:pStyle w:val="ListParagraph"/>
        <w:rPr>
          <w:rFonts w:cs="Arial"/>
          <w:bCs/>
          <w:szCs w:val="24"/>
        </w:rPr>
      </w:pPr>
    </w:p>
    <w:p w14:paraId="4A7CA797" w14:textId="77777777" w:rsidR="008470E0" w:rsidRPr="00261CAE" w:rsidRDefault="008470E0" w:rsidP="008470E0">
      <w:pPr>
        <w:pStyle w:val="ListParagraph"/>
        <w:numPr>
          <w:ilvl w:val="1"/>
          <w:numId w:val="13"/>
        </w:numPr>
        <w:tabs>
          <w:tab w:val="left" w:pos="142"/>
          <w:tab w:val="left" w:pos="284"/>
          <w:tab w:val="left" w:pos="709"/>
        </w:tabs>
        <w:ind w:left="709" w:hanging="709"/>
        <w:jc w:val="both"/>
        <w:rPr>
          <w:rFonts w:cs="Arial"/>
        </w:rPr>
      </w:pPr>
      <w:r w:rsidRPr="00261CAE">
        <w:rPr>
          <w:rFonts w:cs="Arial"/>
          <w:bCs/>
          <w:szCs w:val="24"/>
        </w:rPr>
        <w:t>The total People Services capital budget in 2021/22 is £28.886m. As at Q1 the projected spend is £11.480m which represents 40% of the total budget. Further details are set out at the following paragraphs.</w:t>
      </w:r>
    </w:p>
    <w:p w14:paraId="2B362732" w14:textId="77777777" w:rsidR="008470E0" w:rsidRPr="00261CAE" w:rsidRDefault="008470E0" w:rsidP="008470E0">
      <w:pPr>
        <w:pStyle w:val="ListParagraph"/>
        <w:tabs>
          <w:tab w:val="left" w:pos="142"/>
          <w:tab w:val="left" w:pos="284"/>
          <w:tab w:val="left" w:pos="709"/>
        </w:tabs>
        <w:ind w:left="709"/>
        <w:jc w:val="both"/>
        <w:rPr>
          <w:rFonts w:cs="Arial"/>
        </w:rPr>
      </w:pPr>
    </w:p>
    <w:p w14:paraId="578A6CC0" w14:textId="77777777" w:rsidR="008470E0" w:rsidRPr="00261CAE" w:rsidRDefault="008470E0" w:rsidP="008470E0">
      <w:pPr>
        <w:pStyle w:val="ListParagraph"/>
        <w:tabs>
          <w:tab w:val="left" w:pos="142"/>
          <w:tab w:val="left" w:pos="284"/>
          <w:tab w:val="left" w:pos="709"/>
        </w:tabs>
        <w:ind w:left="709"/>
        <w:jc w:val="both"/>
        <w:rPr>
          <w:rFonts w:cs="Arial"/>
        </w:rPr>
      </w:pPr>
      <w:r w:rsidRPr="00261CAE">
        <w:rPr>
          <w:rFonts w:cs="Arial"/>
          <w:b/>
        </w:rPr>
        <w:t xml:space="preserve">Adult Services </w:t>
      </w:r>
    </w:p>
    <w:p w14:paraId="747AD571" w14:textId="77777777" w:rsidR="008470E0" w:rsidRPr="00261CAE" w:rsidRDefault="008470E0" w:rsidP="008470E0">
      <w:pPr>
        <w:pStyle w:val="ListParagraph"/>
        <w:tabs>
          <w:tab w:val="left" w:pos="142"/>
          <w:tab w:val="left" w:pos="284"/>
          <w:tab w:val="left" w:pos="709"/>
        </w:tabs>
        <w:spacing w:after="160" w:line="259" w:lineRule="auto"/>
        <w:ind w:left="709"/>
        <w:contextualSpacing/>
        <w:jc w:val="both"/>
        <w:rPr>
          <w:rFonts w:cs="Arial"/>
          <w:b/>
          <w:u w:val="single"/>
        </w:rPr>
      </w:pPr>
    </w:p>
    <w:p w14:paraId="275B4C22" w14:textId="77777777" w:rsidR="008470E0" w:rsidRPr="00261CAE" w:rsidRDefault="008470E0" w:rsidP="008470E0">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261CAE">
        <w:rPr>
          <w:rFonts w:cs="Arial"/>
          <w:bCs/>
          <w:szCs w:val="24"/>
        </w:rPr>
        <w:t>The Adult Services capital budget in 2021/22 is</w:t>
      </w:r>
      <w:r w:rsidRPr="00261CAE">
        <w:rPr>
          <w:rFonts w:cs="Arial"/>
          <w:bCs/>
        </w:rPr>
        <w:t xml:space="preserve"> £411</w:t>
      </w:r>
      <w:r>
        <w:rPr>
          <w:rFonts w:cs="Arial"/>
          <w:bCs/>
        </w:rPr>
        <w:t>k</w:t>
      </w:r>
      <w:r w:rsidRPr="00261CAE">
        <w:rPr>
          <w:rFonts w:cs="Arial"/>
          <w:bCs/>
        </w:rPr>
        <w:t xml:space="preserve">. As at Q1 this is forecast to spend to budget. </w:t>
      </w:r>
    </w:p>
    <w:p w14:paraId="74848665" w14:textId="77777777" w:rsidR="008470E0" w:rsidRPr="00261CAE" w:rsidRDefault="008470E0" w:rsidP="008470E0">
      <w:pPr>
        <w:pStyle w:val="ListParagraph"/>
        <w:tabs>
          <w:tab w:val="left" w:pos="142"/>
          <w:tab w:val="left" w:pos="284"/>
          <w:tab w:val="left" w:pos="709"/>
        </w:tabs>
        <w:spacing w:after="160" w:line="259" w:lineRule="auto"/>
        <w:ind w:left="709"/>
        <w:contextualSpacing/>
        <w:jc w:val="both"/>
        <w:rPr>
          <w:rFonts w:cs="Arial"/>
          <w:b/>
          <w:u w:val="single"/>
        </w:rPr>
      </w:pPr>
    </w:p>
    <w:p w14:paraId="1B24CCED" w14:textId="77777777" w:rsidR="008470E0" w:rsidRPr="00261CAE" w:rsidRDefault="008470E0" w:rsidP="008470E0">
      <w:pPr>
        <w:pStyle w:val="ListParagraph"/>
        <w:tabs>
          <w:tab w:val="left" w:pos="142"/>
          <w:tab w:val="left" w:pos="284"/>
          <w:tab w:val="left" w:pos="709"/>
        </w:tabs>
        <w:spacing w:after="160" w:line="259" w:lineRule="auto"/>
        <w:ind w:left="709"/>
        <w:contextualSpacing/>
        <w:jc w:val="both"/>
        <w:rPr>
          <w:rFonts w:cs="Arial"/>
          <w:b/>
          <w:u w:val="single"/>
        </w:rPr>
      </w:pPr>
      <w:r w:rsidRPr="00261CAE">
        <w:rPr>
          <w:rFonts w:cs="Arial"/>
          <w:b/>
        </w:rPr>
        <w:t>Public Health</w:t>
      </w:r>
    </w:p>
    <w:p w14:paraId="6DD659DD" w14:textId="77777777" w:rsidR="008470E0" w:rsidRPr="00261CAE" w:rsidRDefault="008470E0" w:rsidP="008470E0">
      <w:pPr>
        <w:pStyle w:val="ListParagraph"/>
        <w:tabs>
          <w:tab w:val="left" w:pos="142"/>
          <w:tab w:val="left" w:pos="284"/>
          <w:tab w:val="left" w:pos="709"/>
        </w:tabs>
        <w:spacing w:after="160" w:line="259" w:lineRule="auto"/>
        <w:ind w:left="709"/>
        <w:contextualSpacing/>
        <w:jc w:val="both"/>
        <w:rPr>
          <w:rFonts w:cs="Arial"/>
          <w:u w:val="single"/>
        </w:rPr>
      </w:pPr>
    </w:p>
    <w:p w14:paraId="53427536" w14:textId="77777777" w:rsidR="008470E0" w:rsidRPr="00261CAE" w:rsidRDefault="008470E0" w:rsidP="008470E0">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261CAE">
        <w:rPr>
          <w:rFonts w:cs="Arial"/>
          <w:bCs/>
        </w:rPr>
        <w:t>The Public Health capital budget in 2021/22 is £9k. As at Q1 this is forecast to spend to budget.</w:t>
      </w:r>
    </w:p>
    <w:p w14:paraId="37977142" w14:textId="77777777" w:rsidR="008470E0" w:rsidRPr="00261CAE" w:rsidRDefault="008470E0" w:rsidP="008470E0">
      <w:pPr>
        <w:pStyle w:val="ListParagraph"/>
        <w:rPr>
          <w:rFonts w:cs="Arial"/>
          <w:b/>
          <w:bCs/>
          <w:szCs w:val="24"/>
        </w:rPr>
      </w:pPr>
    </w:p>
    <w:p w14:paraId="47E0C63F" w14:textId="77777777" w:rsidR="008470E0" w:rsidRPr="00261CAE" w:rsidRDefault="008470E0" w:rsidP="008470E0">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261CAE">
        <w:rPr>
          <w:rFonts w:cs="Arial"/>
          <w:b/>
          <w:bCs/>
          <w:szCs w:val="24"/>
        </w:rPr>
        <w:t>Children’s Services</w:t>
      </w:r>
    </w:p>
    <w:p w14:paraId="15222D7D" w14:textId="77777777" w:rsidR="008470E0" w:rsidRPr="00261CAE" w:rsidRDefault="008470E0" w:rsidP="008470E0">
      <w:pPr>
        <w:pStyle w:val="ListParagraph"/>
        <w:tabs>
          <w:tab w:val="left" w:pos="142"/>
          <w:tab w:val="left" w:pos="284"/>
          <w:tab w:val="left" w:pos="709"/>
        </w:tabs>
        <w:ind w:left="709"/>
        <w:jc w:val="both"/>
        <w:rPr>
          <w:rFonts w:cs="Arial"/>
          <w:szCs w:val="24"/>
        </w:rPr>
      </w:pPr>
    </w:p>
    <w:p w14:paraId="5B37DCA4" w14:textId="77777777" w:rsidR="008470E0" w:rsidRPr="00261CAE" w:rsidRDefault="008470E0" w:rsidP="008470E0">
      <w:pPr>
        <w:pStyle w:val="ListParagraph"/>
        <w:numPr>
          <w:ilvl w:val="1"/>
          <w:numId w:val="13"/>
        </w:numPr>
        <w:tabs>
          <w:tab w:val="left" w:pos="142"/>
          <w:tab w:val="left" w:pos="284"/>
          <w:tab w:val="left" w:pos="709"/>
        </w:tabs>
        <w:ind w:left="709" w:hanging="709"/>
        <w:jc w:val="both"/>
        <w:rPr>
          <w:rFonts w:cs="Arial"/>
          <w:szCs w:val="24"/>
        </w:rPr>
      </w:pPr>
      <w:r w:rsidRPr="00261CAE">
        <w:rPr>
          <w:rFonts w:cs="Arial"/>
        </w:rPr>
        <w:t xml:space="preserve">The Children’s Services capital budget in 2021/22 is £28.466m. It is proposed to slip </w:t>
      </w:r>
      <w:proofErr w:type="gramStart"/>
      <w:r w:rsidRPr="00261CAE">
        <w:rPr>
          <w:rFonts w:cs="Arial"/>
        </w:rPr>
        <w:t>the majority of</w:t>
      </w:r>
      <w:proofErr w:type="gramEnd"/>
      <w:r w:rsidRPr="00261CAE">
        <w:rPr>
          <w:rFonts w:cs="Arial"/>
        </w:rPr>
        <w:t xml:space="preserve"> this funding totalling £17.406m to future years. </w:t>
      </w:r>
      <w:proofErr w:type="gramStart"/>
      <w:r w:rsidRPr="00261CAE">
        <w:rPr>
          <w:rFonts w:cs="Arial"/>
        </w:rPr>
        <w:t>The majority of</w:t>
      </w:r>
      <w:proofErr w:type="gramEnd"/>
      <w:r w:rsidRPr="00261CAE">
        <w:rPr>
          <w:rFonts w:cs="Arial"/>
        </w:rPr>
        <w:t xml:space="preserve"> the slippage relates to external grant funding allocated for basic need school places. However, at present the school roll projections do not indicate that there is a need for permanent expansion </w:t>
      </w:r>
      <w:proofErr w:type="gramStart"/>
      <w:r w:rsidRPr="00261CAE">
        <w:rPr>
          <w:rFonts w:cs="Arial"/>
        </w:rPr>
        <w:t>at this time</w:t>
      </w:r>
      <w:proofErr w:type="gramEnd"/>
      <w:r w:rsidRPr="00261CAE">
        <w:rPr>
          <w:rFonts w:cs="Arial"/>
        </w:rPr>
        <w:t xml:space="preserve">. </w:t>
      </w:r>
    </w:p>
    <w:p w14:paraId="09185D51" w14:textId="77777777" w:rsidR="008470E0" w:rsidRPr="00261CAE" w:rsidRDefault="008470E0" w:rsidP="008470E0">
      <w:pPr>
        <w:pStyle w:val="ListParagraph"/>
        <w:rPr>
          <w:rFonts w:cs="Arial"/>
        </w:rPr>
      </w:pPr>
    </w:p>
    <w:p w14:paraId="06C0A8D2" w14:textId="77777777" w:rsidR="008470E0" w:rsidRPr="00261CAE" w:rsidRDefault="008470E0" w:rsidP="008470E0">
      <w:pPr>
        <w:pStyle w:val="ListParagraph"/>
        <w:numPr>
          <w:ilvl w:val="1"/>
          <w:numId w:val="13"/>
        </w:numPr>
        <w:tabs>
          <w:tab w:val="left" w:pos="142"/>
          <w:tab w:val="left" w:pos="284"/>
          <w:tab w:val="left" w:pos="709"/>
        </w:tabs>
        <w:ind w:left="709" w:hanging="709"/>
        <w:jc w:val="both"/>
        <w:rPr>
          <w:rFonts w:cs="Arial"/>
          <w:szCs w:val="24"/>
        </w:rPr>
      </w:pPr>
      <w:r w:rsidRPr="00261CAE">
        <w:rPr>
          <w:rFonts w:cs="Arial"/>
        </w:rPr>
        <w:t>There are no revenue implications as a result of this slippage.</w:t>
      </w:r>
    </w:p>
    <w:p w14:paraId="28194334" w14:textId="77777777" w:rsidR="008470E0" w:rsidRPr="00A576F8" w:rsidRDefault="008470E0" w:rsidP="008470E0">
      <w:pPr>
        <w:pStyle w:val="ListParagraph"/>
        <w:tabs>
          <w:tab w:val="left" w:pos="142"/>
          <w:tab w:val="left" w:pos="284"/>
          <w:tab w:val="left" w:pos="709"/>
        </w:tabs>
        <w:ind w:left="709"/>
        <w:jc w:val="both"/>
        <w:rPr>
          <w:rFonts w:cs="Arial"/>
          <w:b/>
          <w:bCs/>
          <w:color w:val="FF0000"/>
          <w:szCs w:val="24"/>
        </w:rPr>
      </w:pPr>
    </w:p>
    <w:p w14:paraId="1CBB1B3E" w14:textId="77777777" w:rsidR="008470E0" w:rsidRPr="008973CD" w:rsidRDefault="008470E0" w:rsidP="008470E0">
      <w:pPr>
        <w:pStyle w:val="ListParagraph"/>
        <w:tabs>
          <w:tab w:val="left" w:pos="142"/>
          <w:tab w:val="left" w:pos="284"/>
          <w:tab w:val="left" w:pos="709"/>
        </w:tabs>
        <w:ind w:left="709"/>
        <w:jc w:val="both"/>
        <w:rPr>
          <w:rFonts w:cs="Arial"/>
          <w:szCs w:val="24"/>
        </w:rPr>
      </w:pPr>
      <w:r w:rsidRPr="008973CD">
        <w:rPr>
          <w:rFonts w:cs="Arial"/>
          <w:b/>
          <w:bCs/>
          <w:szCs w:val="24"/>
        </w:rPr>
        <w:lastRenderedPageBreak/>
        <w:t>HOUSING REVENUE ACCOUNT</w:t>
      </w:r>
    </w:p>
    <w:p w14:paraId="5110E846" w14:textId="77777777" w:rsidR="008470E0" w:rsidRPr="008973CD" w:rsidRDefault="008470E0" w:rsidP="008470E0">
      <w:pPr>
        <w:pStyle w:val="ListParagraph"/>
        <w:tabs>
          <w:tab w:val="left" w:pos="142"/>
          <w:tab w:val="left" w:pos="284"/>
          <w:tab w:val="left" w:pos="709"/>
        </w:tabs>
        <w:ind w:left="709"/>
        <w:jc w:val="both"/>
        <w:rPr>
          <w:rFonts w:cs="Arial"/>
          <w:szCs w:val="24"/>
        </w:rPr>
      </w:pPr>
    </w:p>
    <w:p w14:paraId="10AB9B9A" w14:textId="77777777" w:rsidR="008470E0" w:rsidRPr="00522CDC"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8973CD">
        <w:rPr>
          <w:rFonts w:cs="Arial"/>
          <w:bCs/>
          <w:szCs w:val="24"/>
        </w:rPr>
        <w:t>The HRA capital programme budget is £99.764m. The net forecast position on the HRA capital budget at Q1 is £98.791m which represents 99% of the total HRA capital programme budget. The variance of £973k is made up of proposed slippage of £900k and a net underspend of £73k.</w:t>
      </w:r>
    </w:p>
    <w:p w14:paraId="227D1214" w14:textId="77777777" w:rsidR="008470E0" w:rsidRPr="00522CDC" w:rsidRDefault="008470E0" w:rsidP="008470E0">
      <w:pPr>
        <w:pStyle w:val="ListParagraph"/>
        <w:tabs>
          <w:tab w:val="left" w:pos="142"/>
          <w:tab w:val="left" w:pos="284"/>
          <w:tab w:val="left" w:pos="709"/>
        </w:tabs>
        <w:ind w:left="709" w:right="2"/>
        <w:contextualSpacing/>
        <w:jc w:val="both"/>
        <w:rPr>
          <w:rFonts w:cs="Arial"/>
        </w:rPr>
      </w:pPr>
    </w:p>
    <w:p w14:paraId="332B4669" w14:textId="77777777" w:rsidR="008470E0" w:rsidRPr="00522CDC"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Pr>
          <w:rFonts w:cs="Arial"/>
          <w:bCs/>
          <w:szCs w:val="24"/>
        </w:rPr>
        <w:t>The slippage of £900k relates to the Planned Investment Programme: Heating upgrades to sheltered blocks. This is due to delays within the tender process which has result in a review of the timeline. It is proposed to slip £900k to 2022/23. There are no revenue implications as a result of this slippage.</w:t>
      </w:r>
    </w:p>
    <w:p w14:paraId="1E38E604" w14:textId="77777777" w:rsidR="008470E0" w:rsidRPr="00522CDC" w:rsidRDefault="008470E0" w:rsidP="008470E0">
      <w:pPr>
        <w:pStyle w:val="ListParagraph"/>
        <w:tabs>
          <w:tab w:val="left" w:pos="142"/>
          <w:tab w:val="left" w:pos="284"/>
          <w:tab w:val="left" w:pos="709"/>
        </w:tabs>
        <w:ind w:left="709" w:right="2"/>
        <w:contextualSpacing/>
        <w:jc w:val="both"/>
        <w:rPr>
          <w:rFonts w:cs="Arial"/>
        </w:rPr>
      </w:pPr>
    </w:p>
    <w:p w14:paraId="07DCDFF4" w14:textId="7849CD0D" w:rsidR="008470E0" w:rsidRPr="00522CDC"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Pr>
          <w:rFonts w:cs="Arial"/>
          <w:bCs/>
          <w:szCs w:val="24"/>
        </w:rPr>
        <w:t>The underspend of £73k relates to the Planned Investment Programme: 3-storey fire door programme. This is due to changes and omissions within the programme which has result in a reduction to the required contract sum resulting in an underspend of £73k.</w:t>
      </w:r>
    </w:p>
    <w:p w14:paraId="69DDDE6A" w14:textId="77777777" w:rsidR="008470E0" w:rsidRPr="00A576F8" w:rsidRDefault="008470E0" w:rsidP="008470E0">
      <w:pPr>
        <w:pStyle w:val="ListParagraph"/>
        <w:tabs>
          <w:tab w:val="left" w:pos="142"/>
          <w:tab w:val="left" w:pos="284"/>
          <w:tab w:val="left" w:pos="709"/>
        </w:tabs>
        <w:ind w:left="460" w:right="2"/>
        <w:contextualSpacing/>
        <w:jc w:val="both"/>
        <w:rPr>
          <w:b/>
          <w:bCs/>
          <w:color w:val="FF0000"/>
          <w:szCs w:val="24"/>
        </w:rPr>
      </w:pPr>
    </w:p>
    <w:p w14:paraId="7FAA6FD5" w14:textId="77777777" w:rsidR="008470E0" w:rsidRPr="009B0FAB" w:rsidRDefault="008470E0" w:rsidP="008470E0">
      <w:pPr>
        <w:jc w:val="both"/>
        <w:rPr>
          <w:b/>
          <w:bCs/>
          <w:szCs w:val="24"/>
        </w:rPr>
      </w:pPr>
      <w:r w:rsidRPr="009B0FAB">
        <w:rPr>
          <w:b/>
          <w:bCs/>
          <w:szCs w:val="24"/>
        </w:rPr>
        <w:t>AMENDMENTS TO THE CAPITAL PROGRAMME 2021/22</w:t>
      </w:r>
    </w:p>
    <w:p w14:paraId="48912ABA" w14:textId="77777777" w:rsidR="008470E0" w:rsidRPr="009B0FAB" w:rsidRDefault="008470E0" w:rsidP="008470E0">
      <w:pPr>
        <w:jc w:val="both"/>
        <w:rPr>
          <w:szCs w:val="24"/>
        </w:rPr>
      </w:pPr>
    </w:p>
    <w:p w14:paraId="0420EE3A" w14:textId="77777777" w:rsidR="008470E0" w:rsidRPr="009B0FAB"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9B0FAB">
        <w:rPr>
          <w:rFonts w:cs="Arial"/>
          <w:bCs/>
          <w:szCs w:val="24"/>
        </w:rPr>
        <w:t>The following amendments include realignment of capital programmes as well as additions required to the Capital Programme which are all funded by grant. The cost of additional borrowing required through the HRA will be met within the HRA and therefore no additional capital financing costs will be incurred within the Council’s general fund.</w:t>
      </w:r>
    </w:p>
    <w:p w14:paraId="7E5FD393" w14:textId="77777777" w:rsidR="008470E0" w:rsidRDefault="008470E0" w:rsidP="008470E0">
      <w:pPr>
        <w:pStyle w:val="ListParagraph"/>
        <w:tabs>
          <w:tab w:val="left" w:pos="142"/>
          <w:tab w:val="left" w:pos="284"/>
          <w:tab w:val="left" w:pos="709"/>
        </w:tabs>
        <w:ind w:left="709" w:right="2"/>
        <w:contextualSpacing/>
        <w:jc w:val="both"/>
        <w:rPr>
          <w:rFonts w:cs="Arial"/>
        </w:rPr>
      </w:pPr>
    </w:p>
    <w:p w14:paraId="0E50090B" w14:textId="5FBA14C1" w:rsidR="008470E0" w:rsidRPr="009B0FAB" w:rsidRDefault="008470E0" w:rsidP="008470E0">
      <w:pPr>
        <w:pStyle w:val="ListParagraph"/>
        <w:ind w:left="567"/>
        <w:jc w:val="both"/>
        <w:rPr>
          <w:b/>
          <w:szCs w:val="24"/>
        </w:rPr>
      </w:pPr>
      <w:r>
        <w:rPr>
          <w:rFonts w:cs="Arial"/>
          <w:b/>
          <w:szCs w:val="24"/>
        </w:rPr>
        <w:t xml:space="preserve">  </w:t>
      </w:r>
      <w:r w:rsidRPr="009B0FAB">
        <w:rPr>
          <w:rFonts w:cs="Arial"/>
          <w:b/>
          <w:szCs w:val="24"/>
        </w:rPr>
        <w:t>Additions to the Capital Programme</w:t>
      </w:r>
    </w:p>
    <w:p w14:paraId="2F779D59" w14:textId="77777777" w:rsidR="008470E0" w:rsidRPr="00522CDC" w:rsidRDefault="008470E0" w:rsidP="008470E0">
      <w:pPr>
        <w:pStyle w:val="ListParagraph"/>
        <w:tabs>
          <w:tab w:val="left" w:pos="142"/>
          <w:tab w:val="left" w:pos="284"/>
          <w:tab w:val="left" w:pos="709"/>
        </w:tabs>
        <w:ind w:left="709" w:right="2"/>
        <w:contextualSpacing/>
        <w:jc w:val="both"/>
        <w:rPr>
          <w:rFonts w:cs="Arial"/>
        </w:rPr>
      </w:pPr>
    </w:p>
    <w:p w14:paraId="1ADC3B92" w14:textId="77777777" w:rsidR="008470E0" w:rsidRPr="00522CDC"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522CDC">
        <w:rPr>
          <w:b/>
          <w:bCs/>
          <w:szCs w:val="24"/>
        </w:rPr>
        <w:t xml:space="preserve">Bernays Garden Wall Restoration - £41,531 </w:t>
      </w:r>
    </w:p>
    <w:p w14:paraId="0DE61A85" w14:textId="77777777" w:rsidR="008470E0" w:rsidRPr="00522CDC" w:rsidRDefault="008470E0" w:rsidP="008470E0">
      <w:pPr>
        <w:pStyle w:val="ListParagraph"/>
        <w:rPr>
          <w:rFonts w:cs="Arial"/>
          <w:bCs/>
          <w:szCs w:val="24"/>
        </w:rPr>
      </w:pPr>
    </w:p>
    <w:p w14:paraId="4F9428EC" w14:textId="77777777" w:rsidR="008470E0" w:rsidRPr="00522CDC"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522CDC">
        <w:rPr>
          <w:rFonts w:cs="Arial"/>
          <w:bCs/>
          <w:szCs w:val="24"/>
        </w:rPr>
        <w:t>Following a successful funding application of the Repairs Grants for Heritage at Risk, Historic England will provide £41,531 towards the repair of both faces of the Grade II listed wall to Bernays Garden in Stanmore. The Council will provide 50% match funding for the project which has already been set aside in the Parks Infrastructure programme. It is therefore proposed that the additional funding of £41,531 is added to the capital programme</w:t>
      </w:r>
    </w:p>
    <w:p w14:paraId="01F2BFF4" w14:textId="77777777" w:rsidR="008470E0" w:rsidRPr="006756BA" w:rsidRDefault="008470E0" w:rsidP="008470E0">
      <w:pPr>
        <w:pStyle w:val="ListParagraph"/>
        <w:rPr>
          <w:szCs w:val="24"/>
        </w:rPr>
      </w:pPr>
    </w:p>
    <w:p w14:paraId="58BA9B6D" w14:textId="77777777" w:rsidR="008470E0" w:rsidRPr="006756BA" w:rsidRDefault="008470E0" w:rsidP="008470E0">
      <w:pPr>
        <w:pStyle w:val="ListParagraph"/>
        <w:numPr>
          <w:ilvl w:val="1"/>
          <w:numId w:val="13"/>
        </w:numPr>
        <w:tabs>
          <w:tab w:val="left" w:pos="142"/>
          <w:tab w:val="left" w:pos="284"/>
          <w:tab w:val="left" w:pos="709"/>
        </w:tabs>
        <w:ind w:left="709" w:right="2" w:hanging="709"/>
        <w:contextualSpacing/>
        <w:jc w:val="both"/>
        <w:rPr>
          <w:rFonts w:cs="Arial"/>
          <w:b/>
          <w:bCs/>
        </w:rPr>
      </w:pPr>
      <w:r w:rsidRPr="006756BA">
        <w:rPr>
          <w:b/>
          <w:bCs/>
          <w:szCs w:val="24"/>
        </w:rPr>
        <w:t>Mayor’s Rough Sleeping Accommodation Programme (RSAP) - £2,880,915</w:t>
      </w:r>
    </w:p>
    <w:p w14:paraId="09E98FC0" w14:textId="77777777" w:rsidR="008470E0" w:rsidRPr="006756BA" w:rsidRDefault="008470E0" w:rsidP="008470E0">
      <w:pPr>
        <w:pStyle w:val="ListParagraph"/>
        <w:rPr>
          <w:rFonts w:cs="Arial"/>
        </w:rPr>
      </w:pPr>
    </w:p>
    <w:p w14:paraId="603C797D" w14:textId="5A6E54AE" w:rsidR="008470E0" w:rsidRPr="006756BA"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6756BA">
        <w:t>The Council has been successful in a bid to the GLA for the 2021–2024 Mayor’s Rough Sleeping Accommodation Programme (RSAP). The funding awarded is £1,350,000 capital and the HRA will be contributing additional borrowing of £1,430,916 and utilising £99,999 of s106 monies this financial year. The funding needs to be spent by 31 March 2022. It is therefore proposed to increase the 2021/22 capital programme by £2,880,915 to reflect the additional grant funding. This will enable the purchase of 9 properties to house rough sleepers. The Council has also been awarded revenue funding of £315k to provide specialist support to residents.</w:t>
      </w:r>
    </w:p>
    <w:p w14:paraId="0B0D87DB" w14:textId="77777777" w:rsidR="008470E0" w:rsidRPr="00471B29" w:rsidRDefault="008470E0" w:rsidP="008470E0">
      <w:pPr>
        <w:pStyle w:val="ListParagraph"/>
        <w:rPr>
          <w:rFonts w:cs="Arial"/>
          <w:color w:val="FF0000"/>
        </w:rPr>
      </w:pPr>
    </w:p>
    <w:p w14:paraId="21218F10" w14:textId="77777777" w:rsidR="008470E0" w:rsidRPr="00B96D33" w:rsidRDefault="008470E0" w:rsidP="008470E0">
      <w:pPr>
        <w:pStyle w:val="ListParagraph"/>
        <w:numPr>
          <w:ilvl w:val="1"/>
          <w:numId w:val="13"/>
        </w:numPr>
        <w:tabs>
          <w:tab w:val="left" w:pos="142"/>
          <w:tab w:val="left" w:pos="284"/>
          <w:tab w:val="left" w:pos="709"/>
        </w:tabs>
        <w:ind w:left="709" w:right="2" w:hanging="709"/>
        <w:contextualSpacing/>
        <w:jc w:val="both"/>
        <w:rPr>
          <w:rFonts w:cs="Arial"/>
          <w:b/>
          <w:bCs/>
        </w:rPr>
      </w:pPr>
      <w:bookmarkStart w:id="8" w:name="_Hlk82502304"/>
      <w:r w:rsidRPr="00B96D33">
        <w:rPr>
          <w:rFonts w:cs="Arial"/>
          <w:b/>
          <w:bCs/>
        </w:rPr>
        <w:t>ICT Dynamics</w:t>
      </w:r>
      <w:r>
        <w:rPr>
          <w:rFonts w:cs="Arial"/>
          <w:b/>
          <w:bCs/>
        </w:rPr>
        <w:t xml:space="preserve"> – </w:t>
      </w:r>
      <w:r w:rsidRPr="00B96D33">
        <w:rPr>
          <w:rFonts w:cs="Arial"/>
          <w:b/>
          <w:bCs/>
        </w:rPr>
        <w:t>£500,000 draw down</w:t>
      </w:r>
    </w:p>
    <w:p w14:paraId="1F7A1CA0" w14:textId="77777777" w:rsidR="008470E0" w:rsidRPr="00B96D33" w:rsidRDefault="008470E0" w:rsidP="008470E0">
      <w:pPr>
        <w:pStyle w:val="ListParagraph"/>
        <w:rPr>
          <w:rFonts w:cs="Arial"/>
        </w:rPr>
      </w:pPr>
    </w:p>
    <w:p w14:paraId="2AA8E85D" w14:textId="4FB4CE6D" w:rsidR="008470E0" w:rsidRPr="00B96D33"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B96D33">
        <w:t>The existing ICT capital budget includes provision for the new Dynamics ERP system which is being implemented at present. There was a report to Cabinet in April 2021 setting out a delay in the project f</w:t>
      </w:r>
      <w:r>
        <w:t>rom</w:t>
      </w:r>
      <w:r w:rsidRPr="00B96D33">
        <w:t xml:space="preserve"> a go-live date in April 2021 to a July/August 2021 go-live. </w:t>
      </w:r>
    </w:p>
    <w:p w14:paraId="2CE70124" w14:textId="77777777" w:rsidR="008470E0" w:rsidRDefault="008470E0" w:rsidP="008470E0">
      <w:pPr>
        <w:pStyle w:val="ListParagraph"/>
      </w:pPr>
    </w:p>
    <w:p w14:paraId="35239540" w14:textId="1032C388" w:rsidR="008470E0" w:rsidRPr="007973D6"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7973D6">
        <w:t xml:space="preserve">As the project has progressed it has been necessary to agree a further delay and also a split go-live so that the Finance elements of the system go live in October and HR will go live at a later date yet to be confirmed but by March 2022. Although the split go live has been </w:t>
      </w:r>
      <w:r w:rsidRPr="007973D6">
        <w:rPr>
          <w:rFonts w:cs="Arial"/>
          <w:szCs w:val="24"/>
        </w:rPr>
        <w:t xml:space="preserve">necessary because of problems developing an interface to the </w:t>
      </w:r>
      <w:proofErr w:type="gramStart"/>
      <w:r w:rsidRPr="007973D6">
        <w:rPr>
          <w:rFonts w:cs="Arial"/>
          <w:szCs w:val="24"/>
        </w:rPr>
        <w:t>schools</w:t>
      </w:r>
      <w:proofErr w:type="gramEnd"/>
      <w:r w:rsidRPr="007973D6">
        <w:rPr>
          <w:rFonts w:cs="Arial"/>
          <w:szCs w:val="24"/>
        </w:rPr>
        <w:t xml:space="preserve"> system, SIMS, the split has the benefit of reducing the risk of going live in one ‘big- bang’.</w:t>
      </w:r>
    </w:p>
    <w:p w14:paraId="3121838E" w14:textId="77777777" w:rsidR="008470E0" w:rsidRPr="007973D6" w:rsidRDefault="008470E0" w:rsidP="008470E0">
      <w:pPr>
        <w:pStyle w:val="ListParagraph"/>
        <w:rPr>
          <w:rFonts w:cs="Arial"/>
        </w:rPr>
      </w:pPr>
    </w:p>
    <w:p w14:paraId="6DC0A71D" w14:textId="0D6D553E" w:rsidR="008470E0" w:rsidRPr="007973D6" w:rsidRDefault="008470E0" w:rsidP="008470E0">
      <w:pPr>
        <w:pStyle w:val="ListParagraph"/>
        <w:numPr>
          <w:ilvl w:val="1"/>
          <w:numId w:val="13"/>
        </w:numPr>
        <w:tabs>
          <w:tab w:val="left" w:pos="142"/>
          <w:tab w:val="left" w:pos="284"/>
          <w:tab w:val="left" w:pos="709"/>
        </w:tabs>
        <w:ind w:left="709" w:right="2" w:hanging="709"/>
        <w:contextualSpacing/>
        <w:jc w:val="both"/>
        <w:rPr>
          <w:rFonts w:cs="Arial"/>
        </w:rPr>
      </w:pPr>
      <w:r w:rsidRPr="007973D6">
        <w:rPr>
          <w:rFonts w:cs="Arial"/>
        </w:rPr>
        <w:t xml:space="preserve">In addition, </w:t>
      </w:r>
      <w:r w:rsidRPr="007973D6">
        <w:rPr>
          <w:rFonts w:cs="Arial"/>
          <w:szCs w:val="24"/>
        </w:rPr>
        <w:t>the delayed HR go-live should provide some scope for the in-house project team to look at bringing forward some of the additional HR functionality that was to be done in a second phase of the Dynamics project.  The budget for this second phase is £1.7m and is already in the capital programme.  Should this be possible then the equivalent amount it would cost to bring in this functionality, can be used to contribute towards the delay cost.</w:t>
      </w:r>
    </w:p>
    <w:p w14:paraId="12D7FD26" w14:textId="77777777" w:rsidR="008470E0" w:rsidRPr="007973D6" w:rsidRDefault="008470E0" w:rsidP="008470E0">
      <w:pPr>
        <w:pStyle w:val="ListParagraph"/>
      </w:pPr>
    </w:p>
    <w:p w14:paraId="2F037EC3" w14:textId="4A9AEEAA" w:rsidR="008470E0" w:rsidRPr="008470E0" w:rsidRDefault="008470E0" w:rsidP="008470E0">
      <w:pPr>
        <w:pStyle w:val="ListParagraph"/>
        <w:numPr>
          <w:ilvl w:val="1"/>
          <w:numId w:val="13"/>
        </w:numPr>
        <w:tabs>
          <w:tab w:val="left" w:pos="142"/>
          <w:tab w:val="left" w:pos="284"/>
          <w:tab w:val="left" w:pos="709"/>
        </w:tabs>
        <w:ind w:left="709" w:right="2" w:hanging="709"/>
        <w:contextualSpacing/>
        <w:jc w:val="both"/>
        <w:rPr>
          <w:color w:val="FF0000"/>
          <w:szCs w:val="24"/>
        </w:rPr>
      </w:pPr>
      <w:r w:rsidRPr="007973D6">
        <w:t xml:space="preserve">The cost of the delay for both Finance and HR elements for the Council is estimated to be under £500k. </w:t>
      </w:r>
      <w:r w:rsidRPr="008470E0">
        <w:rPr>
          <w:rFonts w:cs="Arial"/>
          <w:szCs w:val="24"/>
        </w:rPr>
        <w:t xml:space="preserve">At this stage as work still needs to be undertaken to scope out what phase II work can be accommodated, the full £500k needs to be funded from the Phase II budget. </w:t>
      </w:r>
      <w:r w:rsidRPr="007973D6">
        <w:t xml:space="preserve">There is no addition to the programme required but Cabinet is asked to note the requirement to draw down </w:t>
      </w:r>
      <w:r w:rsidRPr="00B96D33">
        <w:t>approximately £500k from the Phase II Dynamics budget already included in the Resources Capital Programme.</w:t>
      </w:r>
      <w:bookmarkEnd w:id="8"/>
    </w:p>
    <w:p w14:paraId="3422CE58" w14:textId="77777777" w:rsidR="008470E0" w:rsidRDefault="008470E0" w:rsidP="008470E0">
      <w:pPr>
        <w:pStyle w:val="ListParagraph"/>
        <w:rPr>
          <w:color w:val="FF0000"/>
          <w:szCs w:val="24"/>
        </w:rPr>
      </w:pPr>
    </w:p>
    <w:p w14:paraId="3652C5BC" w14:textId="77777777" w:rsidR="008470E0" w:rsidRPr="00A826AC" w:rsidRDefault="008470E0" w:rsidP="008470E0">
      <w:pPr>
        <w:pStyle w:val="ListParagraph"/>
        <w:numPr>
          <w:ilvl w:val="0"/>
          <w:numId w:val="7"/>
        </w:numPr>
        <w:tabs>
          <w:tab w:val="left" w:pos="567"/>
        </w:tabs>
        <w:ind w:left="567" w:hanging="567"/>
        <w:jc w:val="both"/>
        <w:rPr>
          <w:rFonts w:cs="Arial"/>
          <w:b/>
          <w:szCs w:val="24"/>
          <w:u w:val="single"/>
        </w:rPr>
      </w:pPr>
      <w:r w:rsidRPr="00A826AC">
        <w:rPr>
          <w:rFonts w:cs="Arial"/>
          <w:b/>
          <w:szCs w:val="24"/>
          <w:u w:val="single"/>
        </w:rPr>
        <w:t>COUNCIL TRADING STRUCTURE UPDATE 2021/2</w:t>
      </w:r>
      <w:r>
        <w:rPr>
          <w:rFonts w:cs="Arial"/>
          <w:b/>
          <w:szCs w:val="24"/>
          <w:u w:val="single"/>
        </w:rPr>
        <w:t>2</w:t>
      </w:r>
      <w:r w:rsidRPr="00A826AC">
        <w:rPr>
          <w:rFonts w:cs="Arial"/>
          <w:b/>
          <w:szCs w:val="24"/>
          <w:u w:val="single"/>
        </w:rPr>
        <w:t xml:space="preserve"> </w:t>
      </w:r>
    </w:p>
    <w:p w14:paraId="207886E1" w14:textId="77777777" w:rsidR="008470E0" w:rsidRPr="00A826AC" w:rsidRDefault="008470E0" w:rsidP="008470E0">
      <w:pPr>
        <w:pStyle w:val="ListParagraph"/>
        <w:tabs>
          <w:tab w:val="left" w:pos="567"/>
        </w:tabs>
        <w:ind w:left="567"/>
        <w:jc w:val="both"/>
        <w:rPr>
          <w:rFonts w:cs="Arial"/>
          <w:b/>
          <w:szCs w:val="24"/>
          <w:u w:val="single"/>
        </w:rPr>
      </w:pPr>
    </w:p>
    <w:p w14:paraId="4ADB2773" w14:textId="77777777" w:rsidR="008470E0" w:rsidRPr="00576821" w:rsidRDefault="008470E0" w:rsidP="008470E0">
      <w:pPr>
        <w:pStyle w:val="ListParagraph"/>
        <w:numPr>
          <w:ilvl w:val="1"/>
          <w:numId w:val="12"/>
        </w:numPr>
        <w:tabs>
          <w:tab w:val="left" w:pos="567"/>
        </w:tabs>
        <w:ind w:left="567" w:hanging="567"/>
        <w:jc w:val="both"/>
      </w:pPr>
      <w:r w:rsidRPr="00A826AC">
        <w:rPr>
          <w:rFonts w:cs="Arial"/>
          <w:szCs w:val="24"/>
        </w:rPr>
        <w:t>The Council’s Trading Structure update is attached at Appendix 6 and summarises the financial position and provides a general update on the activities of all the Council’s trading entities.</w:t>
      </w:r>
    </w:p>
    <w:p w14:paraId="54854C14" w14:textId="77777777" w:rsidR="008470E0" w:rsidRPr="00576821" w:rsidRDefault="008470E0" w:rsidP="008470E0">
      <w:pPr>
        <w:pStyle w:val="ListParagraph"/>
        <w:tabs>
          <w:tab w:val="left" w:pos="567"/>
        </w:tabs>
        <w:ind w:left="567"/>
        <w:jc w:val="both"/>
      </w:pPr>
    </w:p>
    <w:p w14:paraId="18C48B49" w14:textId="77777777" w:rsidR="008470E0" w:rsidRPr="00576821" w:rsidRDefault="008470E0" w:rsidP="008470E0">
      <w:pPr>
        <w:pStyle w:val="ListParagraph"/>
        <w:numPr>
          <w:ilvl w:val="1"/>
          <w:numId w:val="12"/>
        </w:numPr>
        <w:tabs>
          <w:tab w:val="left" w:pos="567"/>
        </w:tabs>
        <w:ind w:left="567" w:hanging="567"/>
        <w:jc w:val="both"/>
      </w:pPr>
      <w:r w:rsidRPr="00576821">
        <w:rPr>
          <w:rFonts w:cs="Arial"/>
        </w:rPr>
        <w:t xml:space="preserve">Appendix </w:t>
      </w:r>
      <w:r>
        <w:rPr>
          <w:rFonts w:cs="Arial"/>
        </w:rPr>
        <w:t>7</w:t>
      </w:r>
      <w:r w:rsidRPr="00576821">
        <w:rPr>
          <w:rFonts w:cs="Arial"/>
        </w:rPr>
        <w:t xml:space="preserve"> (exempt) details </w:t>
      </w:r>
      <w:proofErr w:type="spellStart"/>
      <w:r w:rsidRPr="00576821">
        <w:rPr>
          <w:rFonts w:cs="Arial"/>
        </w:rPr>
        <w:t>Sancroft’s</w:t>
      </w:r>
      <w:proofErr w:type="spellEnd"/>
      <w:r w:rsidRPr="00576821">
        <w:rPr>
          <w:rFonts w:cs="Arial"/>
        </w:rPr>
        <w:t xml:space="preserve"> Business Plan Refresh (2017-2023) which Cabinet is recommended to approve.</w:t>
      </w:r>
    </w:p>
    <w:p w14:paraId="47203833" w14:textId="77777777" w:rsidR="008470E0" w:rsidRPr="00576821" w:rsidRDefault="008470E0" w:rsidP="008470E0">
      <w:pPr>
        <w:pStyle w:val="ListParagraph"/>
        <w:rPr>
          <w:rFonts w:cs="Arial"/>
        </w:rPr>
      </w:pPr>
    </w:p>
    <w:p w14:paraId="3A18DDB6" w14:textId="6567BCE0" w:rsidR="008470E0" w:rsidRPr="00576821" w:rsidRDefault="008470E0" w:rsidP="008470E0">
      <w:pPr>
        <w:pStyle w:val="ListParagraph"/>
        <w:numPr>
          <w:ilvl w:val="1"/>
          <w:numId w:val="12"/>
        </w:numPr>
        <w:tabs>
          <w:tab w:val="left" w:pos="567"/>
        </w:tabs>
        <w:ind w:left="567" w:hanging="567"/>
        <w:jc w:val="both"/>
      </w:pPr>
      <w:r w:rsidRPr="00576821">
        <w:rPr>
          <w:rFonts w:cs="Arial"/>
        </w:rPr>
        <w:t xml:space="preserve">In November 2018, Cabinet approved the use of Concilium Assets LLP as the Council’s Private Rented Sector (PRS) investment vehicle to operate the Council owned 53 PRS units at Gayton Road. The LLP started trading on 1 January 2019 and the 53 units were transferred to the LLP in July 2019 on a 10-year lease. </w:t>
      </w:r>
    </w:p>
    <w:p w14:paraId="66FE5925" w14:textId="77777777" w:rsidR="008470E0" w:rsidRPr="00277EC2" w:rsidRDefault="008470E0" w:rsidP="008470E0">
      <w:pPr>
        <w:tabs>
          <w:tab w:val="left" w:pos="567"/>
        </w:tabs>
        <w:jc w:val="both"/>
      </w:pPr>
    </w:p>
    <w:p w14:paraId="46AECBF7" w14:textId="291CA98C" w:rsidR="008470E0" w:rsidRPr="00277EC2" w:rsidRDefault="008470E0" w:rsidP="008470E0">
      <w:pPr>
        <w:pStyle w:val="ListParagraph"/>
        <w:numPr>
          <w:ilvl w:val="1"/>
          <w:numId w:val="12"/>
        </w:numPr>
        <w:tabs>
          <w:tab w:val="left" w:pos="567"/>
        </w:tabs>
        <w:ind w:left="567" w:hanging="567"/>
        <w:jc w:val="both"/>
      </w:pPr>
      <w:r>
        <w:rPr>
          <w:rFonts w:cs="Arial"/>
          <w:szCs w:val="24"/>
        </w:rPr>
        <w:t>The report recommends Cabinet approves the Concilium Assets LLP updated Business Plan at Appendix 8 (exempt). The activities of Concilium Assets LLP have been largely unaffected by Covid-19 and the business has remained resilient.</w:t>
      </w:r>
    </w:p>
    <w:p w14:paraId="3AD38F4F" w14:textId="77777777" w:rsidR="008470E0" w:rsidRPr="00576821" w:rsidRDefault="008470E0" w:rsidP="008470E0">
      <w:pPr>
        <w:pStyle w:val="ListParagraph"/>
        <w:tabs>
          <w:tab w:val="left" w:pos="567"/>
        </w:tabs>
        <w:ind w:left="567"/>
        <w:jc w:val="both"/>
      </w:pPr>
    </w:p>
    <w:p w14:paraId="2CD10EDC" w14:textId="3AE8E952" w:rsidR="008470E0" w:rsidRPr="008470E0" w:rsidRDefault="008470E0" w:rsidP="008470E0">
      <w:pPr>
        <w:pStyle w:val="ListParagraph"/>
        <w:numPr>
          <w:ilvl w:val="1"/>
          <w:numId w:val="12"/>
        </w:numPr>
        <w:tabs>
          <w:tab w:val="left" w:pos="567"/>
        </w:tabs>
        <w:ind w:left="567" w:hanging="567"/>
        <w:jc w:val="both"/>
        <w:rPr>
          <w:rFonts w:cs="Arial"/>
          <w:color w:val="FF0000"/>
          <w:szCs w:val="24"/>
        </w:rPr>
      </w:pPr>
      <w:r w:rsidRPr="008470E0">
        <w:rPr>
          <w:rFonts w:cs="Arial"/>
          <w:szCs w:val="24"/>
        </w:rPr>
        <w:t>The budgeted contribution of £450k was transferred into the Council in 2020-21. Following the commercial experience of running a business of this nature for the past two financial years the MTFS contribution is being re-profiled. The quantum of the contribution remains at £641k but will be received over a four-year period rather than three.</w:t>
      </w:r>
    </w:p>
    <w:p w14:paraId="6B33E68F" w14:textId="77777777" w:rsidR="008470E0" w:rsidRPr="00F52080" w:rsidRDefault="008470E0" w:rsidP="008470E0">
      <w:pPr>
        <w:pStyle w:val="ListParagraph"/>
        <w:tabs>
          <w:tab w:val="left" w:pos="567"/>
        </w:tabs>
        <w:ind w:left="0"/>
        <w:jc w:val="both"/>
        <w:rPr>
          <w:rFonts w:cs="Arial"/>
          <w:szCs w:val="24"/>
        </w:rPr>
      </w:pPr>
    </w:p>
    <w:p w14:paraId="4120F795" w14:textId="77777777" w:rsidR="008470E0" w:rsidRPr="00F52080" w:rsidRDefault="008470E0" w:rsidP="008470E0">
      <w:pPr>
        <w:pStyle w:val="ListParagraph"/>
        <w:numPr>
          <w:ilvl w:val="0"/>
          <w:numId w:val="7"/>
        </w:numPr>
        <w:ind w:left="567" w:hanging="567"/>
        <w:jc w:val="both"/>
        <w:rPr>
          <w:b/>
          <w:szCs w:val="24"/>
          <w:u w:val="single"/>
        </w:rPr>
      </w:pPr>
      <w:r w:rsidRPr="00F52080">
        <w:rPr>
          <w:b/>
          <w:szCs w:val="24"/>
          <w:u w:val="single"/>
        </w:rPr>
        <w:t>REPORTING FOR THE 202</w:t>
      </w:r>
      <w:r>
        <w:rPr>
          <w:b/>
          <w:szCs w:val="24"/>
          <w:u w:val="single"/>
        </w:rPr>
        <w:t>1/22</w:t>
      </w:r>
      <w:r w:rsidRPr="00F52080">
        <w:rPr>
          <w:b/>
          <w:szCs w:val="24"/>
          <w:u w:val="single"/>
        </w:rPr>
        <w:t xml:space="preserve"> FINANCIAL YEAR</w:t>
      </w:r>
    </w:p>
    <w:p w14:paraId="28C6DDE1" w14:textId="77777777" w:rsidR="008470E0" w:rsidRPr="00F52080" w:rsidRDefault="008470E0" w:rsidP="008470E0">
      <w:pPr>
        <w:jc w:val="both"/>
        <w:rPr>
          <w:b/>
          <w:szCs w:val="24"/>
          <w:u w:val="single"/>
        </w:rPr>
      </w:pPr>
    </w:p>
    <w:p w14:paraId="703AD6E7" w14:textId="77777777" w:rsidR="008470E0" w:rsidRPr="00A576F8" w:rsidRDefault="008470E0" w:rsidP="008470E0">
      <w:pPr>
        <w:pStyle w:val="ListParagraph"/>
        <w:numPr>
          <w:ilvl w:val="1"/>
          <w:numId w:val="7"/>
        </w:numPr>
        <w:ind w:left="567" w:hanging="567"/>
        <w:jc w:val="both"/>
        <w:rPr>
          <w:szCs w:val="24"/>
        </w:rPr>
      </w:pPr>
      <w:r w:rsidRPr="00A576F8">
        <w:rPr>
          <w:szCs w:val="24"/>
        </w:rPr>
        <w:t>This is the first revenue and capital budget monitoring report for 2021/22.</w:t>
      </w:r>
    </w:p>
    <w:p w14:paraId="1C5357C7" w14:textId="77777777" w:rsidR="008470E0" w:rsidRDefault="008470E0" w:rsidP="008470E0">
      <w:pPr>
        <w:pStyle w:val="ListParagraph"/>
        <w:ind w:left="567"/>
        <w:jc w:val="both"/>
        <w:rPr>
          <w:szCs w:val="24"/>
        </w:rPr>
      </w:pPr>
    </w:p>
    <w:p w14:paraId="445B2A82" w14:textId="77777777" w:rsidR="008470E0" w:rsidRDefault="008470E0" w:rsidP="008470E0">
      <w:pPr>
        <w:pStyle w:val="ListParagraph"/>
        <w:numPr>
          <w:ilvl w:val="1"/>
          <w:numId w:val="7"/>
        </w:numPr>
        <w:ind w:left="567" w:hanging="567"/>
        <w:jc w:val="both"/>
        <w:rPr>
          <w:szCs w:val="24"/>
        </w:rPr>
      </w:pPr>
      <w:r>
        <w:rPr>
          <w:szCs w:val="24"/>
        </w:rPr>
        <w:t>Cabinet will receive quarterly monitoring reports during the year as follows:</w:t>
      </w:r>
    </w:p>
    <w:p w14:paraId="787AA66C" w14:textId="77777777" w:rsidR="008470E0" w:rsidRDefault="008470E0" w:rsidP="008470E0">
      <w:pPr>
        <w:pStyle w:val="ListParagraph"/>
        <w:numPr>
          <w:ilvl w:val="2"/>
          <w:numId w:val="15"/>
        </w:numPr>
        <w:ind w:left="1701" w:hanging="567"/>
        <w:jc w:val="both"/>
        <w:rPr>
          <w:szCs w:val="24"/>
        </w:rPr>
      </w:pPr>
      <w:r>
        <w:rPr>
          <w:szCs w:val="24"/>
        </w:rPr>
        <w:t>Quarter 2 – December 2021</w:t>
      </w:r>
    </w:p>
    <w:p w14:paraId="144F7E57" w14:textId="77777777" w:rsidR="008470E0" w:rsidRDefault="008470E0" w:rsidP="008470E0">
      <w:pPr>
        <w:pStyle w:val="ListParagraph"/>
        <w:numPr>
          <w:ilvl w:val="2"/>
          <w:numId w:val="15"/>
        </w:numPr>
        <w:ind w:left="1701" w:hanging="567"/>
        <w:jc w:val="both"/>
        <w:rPr>
          <w:szCs w:val="24"/>
        </w:rPr>
      </w:pPr>
      <w:r>
        <w:rPr>
          <w:szCs w:val="24"/>
        </w:rPr>
        <w:t>Quarter 3 – February 2022</w:t>
      </w:r>
    </w:p>
    <w:p w14:paraId="48AE81E2" w14:textId="77777777" w:rsidR="008470E0" w:rsidRPr="00A576F8" w:rsidRDefault="008470E0" w:rsidP="008470E0">
      <w:pPr>
        <w:pStyle w:val="ListParagraph"/>
        <w:numPr>
          <w:ilvl w:val="2"/>
          <w:numId w:val="15"/>
        </w:numPr>
        <w:ind w:left="1701" w:hanging="567"/>
        <w:jc w:val="both"/>
        <w:rPr>
          <w:szCs w:val="24"/>
        </w:rPr>
      </w:pPr>
      <w:r>
        <w:rPr>
          <w:szCs w:val="24"/>
        </w:rPr>
        <w:t xml:space="preserve">Outturn report – June 2022 </w:t>
      </w:r>
    </w:p>
    <w:p w14:paraId="69B9905E" w14:textId="77777777" w:rsidR="008470E0" w:rsidRDefault="008470E0" w:rsidP="008470E0">
      <w:pPr>
        <w:ind w:left="1211"/>
        <w:jc w:val="both"/>
        <w:rPr>
          <w:szCs w:val="24"/>
        </w:rPr>
      </w:pPr>
    </w:p>
    <w:p w14:paraId="0EE45B1D" w14:textId="77777777" w:rsidR="008470E0" w:rsidRPr="00F52080" w:rsidRDefault="008470E0" w:rsidP="008470E0">
      <w:pPr>
        <w:ind w:left="1211"/>
        <w:jc w:val="both"/>
        <w:rPr>
          <w:szCs w:val="24"/>
        </w:rPr>
      </w:pPr>
    </w:p>
    <w:p w14:paraId="69882FC4" w14:textId="748352B5" w:rsidR="008470E0" w:rsidRDefault="008470E0" w:rsidP="008470E0">
      <w:pPr>
        <w:pStyle w:val="Heading2"/>
        <w:ind w:left="567" w:hanging="567"/>
        <w:jc w:val="both"/>
        <w:rPr>
          <w:rFonts w:ascii="Arial" w:hAnsi="Arial"/>
          <w:bCs w:val="0"/>
          <w:sz w:val="24"/>
          <w:szCs w:val="24"/>
        </w:rPr>
      </w:pPr>
      <w:r w:rsidRPr="00F52080">
        <w:rPr>
          <w:b w:val="0"/>
          <w:sz w:val="24"/>
          <w:szCs w:val="24"/>
        </w:rPr>
        <w:t>6.0</w:t>
      </w:r>
      <w:r w:rsidRPr="00F52080">
        <w:rPr>
          <w:sz w:val="24"/>
          <w:szCs w:val="24"/>
        </w:rPr>
        <w:t xml:space="preserve">   </w:t>
      </w:r>
      <w:r w:rsidRPr="008470E0">
        <w:rPr>
          <w:rFonts w:ascii="Arial" w:hAnsi="Arial"/>
          <w:bCs w:val="0"/>
          <w:sz w:val="24"/>
          <w:szCs w:val="24"/>
        </w:rPr>
        <w:t>Implications of the Recommendation</w:t>
      </w:r>
    </w:p>
    <w:p w14:paraId="6D08E828" w14:textId="77777777" w:rsidR="008470E0" w:rsidRPr="008470E0" w:rsidRDefault="008470E0" w:rsidP="008470E0"/>
    <w:p w14:paraId="289D4FF1" w14:textId="77777777" w:rsidR="008470E0" w:rsidRPr="00F52080" w:rsidRDefault="008470E0" w:rsidP="008470E0">
      <w:pPr>
        <w:ind w:left="709" w:hanging="709"/>
        <w:jc w:val="both"/>
        <w:rPr>
          <w:szCs w:val="24"/>
        </w:rPr>
      </w:pPr>
      <w:r w:rsidRPr="00F52080">
        <w:rPr>
          <w:b/>
          <w:szCs w:val="24"/>
        </w:rPr>
        <w:t xml:space="preserve">         </w:t>
      </w:r>
      <w:r w:rsidRPr="00F52080">
        <w:rPr>
          <w:szCs w:val="24"/>
        </w:rPr>
        <w:t>Implications of recommendation are set out in the body of this report.</w:t>
      </w:r>
    </w:p>
    <w:p w14:paraId="36108CF2" w14:textId="77777777" w:rsidR="008470E0" w:rsidRPr="00F52080" w:rsidRDefault="008470E0" w:rsidP="008470E0">
      <w:pPr>
        <w:jc w:val="both"/>
        <w:rPr>
          <w:b/>
          <w:szCs w:val="24"/>
        </w:rPr>
      </w:pPr>
    </w:p>
    <w:p w14:paraId="33FBE2D3" w14:textId="77777777" w:rsidR="008470E0" w:rsidRPr="00F52080" w:rsidRDefault="008470E0" w:rsidP="008470E0">
      <w:pPr>
        <w:pStyle w:val="Heading4"/>
        <w:tabs>
          <w:tab w:val="left" w:pos="567"/>
        </w:tabs>
        <w:jc w:val="both"/>
        <w:rPr>
          <w:szCs w:val="24"/>
        </w:rPr>
      </w:pPr>
      <w:r w:rsidRPr="00150E56">
        <w:rPr>
          <w:bCs/>
          <w:szCs w:val="24"/>
        </w:rPr>
        <w:t>7.0</w:t>
      </w:r>
      <w:r w:rsidRPr="00F52080">
        <w:rPr>
          <w:b w:val="0"/>
          <w:szCs w:val="24"/>
        </w:rPr>
        <w:tab/>
      </w:r>
      <w:r w:rsidRPr="00F52080">
        <w:rPr>
          <w:szCs w:val="24"/>
        </w:rPr>
        <w:t>Performance Issues</w:t>
      </w:r>
      <w:r w:rsidRPr="00F52080">
        <w:rPr>
          <w:szCs w:val="24"/>
        </w:rPr>
        <w:tab/>
      </w:r>
    </w:p>
    <w:p w14:paraId="61399A5B" w14:textId="77777777" w:rsidR="008470E0" w:rsidRPr="00F52080" w:rsidRDefault="008470E0" w:rsidP="008470E0">
      <w:pPr>
        <w:tabs>
          <w:tab w:val="left" w:pos="7245"/>
        </w:tabs>
        <w:ind w:left="567"/>
        <w:jc w:val="both"/>
        <w:rPr>
          <w:szCs w:val="24"/>
        </w:rPr>
      </w:pPr>
    </w:p>
    <w:p w14:paraId="79E38FDD" w14:textId="77777777" w:rsidR="008470E0" w:rsidRPr="00F52080" w:rsidRDefault="008470E0" w:rsidP="008470E0">
      <w:pPr>
        <w:tabs>
          <w:tab w:val="left" w:pos="7245"/>
        </w:tabs>
        <w:ind w:left="567"/>
        <w:jc w:val="both"/>
        <w:rPr>
          <w:szCs w:val="24"/>
          <w:lang w:val="en-US"/>
        </w:rPr>
      </w:pPr>
      <w:r w:rsidRPr="00F52080">
        <w:rPr>
          <w:szCs w:val="24"/>
        </w:rPr>
        <w:t xml:space="preserve">Good financial monitoring is essential to </w:t>
      </w:r>
      <w:r w:rsidRPr="00F52080">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2A130653" w14:textId="77777777" w:rsidR="008470E0" w:rsidRPr="00F52080" w:rsidRDefault="008470E0" w:rsidP="008470E0">
      <w:pPr>
        <w:tabs>
          <w:tab w:val="left" w:pos="7245"/>
        </w:tabs>
        <w:ind w:left="709"/>
        <w:jc w:val="both"/>
        <w:rPr>
          <w:szCs w:val="24"/>
          <w:lang w:val="en-US"/>
        </w:rPr>
      </w:pPr>
    </w:p>
    <w:p w14:paraId="36E66D81" w14:textId="77777777" w:rsidR="008470E0" w:rsidRPr="006D1A86" w:rsidRDefault="008470E0" w:rsidP="008470E0">
      <w:pPr>
        <w:tabs>
          <w:tab w:val="left" w:pos="7245"/>
        </w:tabs>
        <w:ind w:left="567"/>
        <w:jc w:val="both"/>
        <w:rPr>
          <w:szCs w:val="24"/>
        </w:rPr>
      </w:pPr>
      <w:r w:rsidRPr="006D1A86">
        <w:rPr>
          <w:szCs w:val="24"/>
        </w:rPr>
        <w:t>As at Q1 the forecast position on the revenue budget is an overspend of £641k</w:t>
      </w:r>
    </w:p>
    <w:p w14:paraId="4103AF0D" w14:textId="77777777" w:rsidR="008470E0" w:rsidRPr="00EC4755" w:rsidRDefault="008470E0" w:rsidP="008470E0">
      <w:pPr>
        <w:tabs>
          <w:tab w:val="left" w:pos="7245"/>
        </w:tabs>
        <w:ind w:left="709"/>
        <w:jc w:val="both"/>
        <w:rPr>
          <w:szCs w:val="24"/>
        </w:rPr>
      </w:pPr>
    </w:p>
    <w:p w14:paraId="455F609C" w14:textId="77777777" w:rsidR="008470E0" w:rsidRPr="00EC4755" w:rsidRDefault="008470E0" w:rsidP="008470E0">
      <w:pPr>
        <w:tabs>
          <w:tab w:val="left" w:pos="7245"/>
        </w:tabs>
        <w:ind w:left="567"/>
        <w:jc w:val="both"/>
        <w:rPr>
          <w:szCs w:val="24"/>
        </w:rPr>
      </w:pPr>
      <w:r w:rsidRPr="00EC4755">
        <w:rPr>
          <w:szCs w:val="24"/>
        </w:rPr>
        <w:t>For the 2021/22 savings built into the MTFS total £3.443m.  The overall position is that 60% of the savings are RAG rated as Green (Clear delivery plans in place and project running to timescale), 5% amber (Potential for slippage, project will be delivered as originally intended but not within timescale, so saving will not be fully realised) and 35% red (Project may have started but will deliver no savings in the current financial year).</w:t>
      </w:r>
    </w:p>
    <w:p w14:paraId="770A272C" w14:textId="77777777" w:rsidR="008470E0" w:rsidRPr="00D43818" w:rsidRDefault="008470E0" w:rsidP="008470E0">
      <w:pPr>
        <w:tabs>
          <w:tab w:val="left" w:pos="7245"/>
        </w:tabs>
        <w:ind w:left="709"/>
        <w:jc w:val="both"/>
        <w:rPr>
          <w:color w:val="FF0000"/>
          <w:szCs w:val="24"/>
        </w:rPr>
      </w:pPr>
    </w:p>
    <w:p w14:paraId="5B8DAF67" w14:textId="77777777" w:rsidR="008470E0" w:rsidRPr="006D1A86" w:rsidRDefault="008470E0" w:rsidP="008470E0">
      <w:pPr>
        <w:tabs>
          <w:tab w:val="left" w:pos="7245"/>
        </w:tabs>
        <w:ind w:left="567"/>
        <w:jc w:val="both"/>
        <w:rPr>
          <w:i/>
          <w:szCs w:val="24"/>
        </w:rPr>
      </w:pPr>
      <w:r w:rsidRPr="006D1A86">
        <w:rPr>
          <w:szCs w:val="24"/>
        </w:rPr>
        <w:t>As at Q1 the capital programme is projecting spend of £190.995m which is 90% of the overall capital programme.</w:t>
      </w:r>
    </w:p>
    <w:p w14:paraId="658EFC53" w14:textId="77777777" w:rsidR="008470E0" w:rsidRPr="00C6595B" w:rsidRDefault="008470E0" w:rsidP="008470E0">
      <w:pPr>
        <w:tabs>
          <w:tab w:val="left" w:pos="7245"/>
        </w:tabs>
        <w:jc w:val="both"/>
        <w:rPr>
          <w:color w:val="FF0000"/>
          <w:szCs w:val="24"/>
        </w:rPr>
      </w:pPr>
    </w:p>
    <w:p w14:paraId="3972EA4C" w14:textId="77777777" w:rsidR="008470E0" w:rsidRPr="00340394" w:rsidRDefault="008470E0" w:rsidP="008470E0">
      <w:pPr>
        <w:pStyle w:val="Heading4"/>
        <w:jc w:val="both"/>
        <w:rPr>
          <w:szCs w:val="24"/>
        </w:rPr>
      </w:pPr>
      <w:r w:rsidRPr="00150E56">
        <w:rPr>
          <w:bCs/>
          <w:szCs w:val="24"/>
        </w:rPr>
        <w:t>8.0</w:t>
      </w:r>
      <w:r w:rsidRPr="00340394">
        <w:rPr>
          <w:szCs w:val="24"/>
        </w:rPr>
        <w:t xml:space="preserve">    Environmental Implications</w:t>
      </w:r>
    </w:p>
    <w:p w14:paraId="08933FE7" w14:textId="77777777" w:rsidR="008470E0" w:rsidRPr="00340394" w:rsidRDefault="008470E0" w:rsidP="008470E0">
      <w:pPr>
        <w:jc w:val="both"/>
        <w:rPr>
          <w:iCs/>
          <w:szCs w:val="24"/>
        </w:rPr>
      </w:pPr>
    </w:p>
    <w:p w14:paraId="14072FAD" w14:textId="77777777" w:rsidR="008470E0" w:rsidRPr="00340394" w:rsidRDefault="008470E0" w:rsidP="008470E0">
      <w:pPr>
        <w:jc w:val="both"/>
        <w:rPr>
          <w:szCs w:val="24"/>
        </w:rPr>
      </w:pPr>
      <w:r w:rsidRPr="00340394">
        <w:rPr>
          <w:szCs w:val="24"/>
        </w:rPr>
        <w:t xml:space="preserve">         There is no direct environmental impact.</w:t>
      </w:r>
    </w:p>
    <w:p w14:paraId="72BCC082" w14:textId="77777777" w:rsidR="008470E0" w:rsidRPr="00340394" w:rsidRDefault="008470E0" w:rsidP="008470E0">
      <w:pPr>
        <w:jc w:val="both"/>
        <w:rPr>
          <w:szCs w:val="24"/>
        </w:rPr>
      </w:pPr>
    </w:p>
    <w:p w14:paraId="4E323210" w14:textId="77777777" w:rsidR="008470E0" w:rsidRPr="008470E0" w:rsidRDefault="008470E0" w:rsidP="008470E0">
      <w:pPr>
        <w:pStyle w:val="Heading2"/>
        <w:ind w:left="567" w:hanging="567"/>
        <w:jc w:val="both"/>
        <w:rPr>
          <w:rFonts w:ascii="Arial" w:hAnsi="Arial"/>
          <w:bCs w:val="0"/>
          <w:sz w:val="24"/>
          <w:szCs w:val="24"/>
        </w:rPr>
      </w:pPr>
      <w:r w:rsidRPr="00150E56">
        <w:rPr>
          <w:rFonts w:ascii="Arial" w:hAnsi="Arial"/>
          <w:bCs w:val="0"/>
          <w:sz w:val="24"/>
          <w:szCs w:val="24"/>
        </w:rPr>
        <w:t>9.0</w:t>
      </w:r>
      <w:r w:rsidRPr="00340394">
        <w:rPr>
          <w:sz w:val="24"/>
          <w:szCs w:val="24"/>
        </w:rPr>
        <w:tab/>
      </w:r>
      <w:r w:rsidRPr="008470E0">
        <w:rPr>
          <w:rFonts w:ascii="Arial" w:hAnsi="Arial"/>
          <w:bCs w:val="0"/>
          <w:sz w:val="24"/>
          <w:szCs w:val="24"/>
        </w:rPr>
        <w:t>Risk Management Implications</w:t>
      </w:r>
    </w:p>
    <w:p w14:paraId="76B76CF2" w14:textId="77777777" w:rsidR="008470E0" w:rsidRPr="008470E0" w:rsidRDefault="008470E0" w:rsidP="008470E0">
      <w:pPr>
        <w:pStyle w:val="Heading4"/>
        <w:jc w:val="both"/>
        <w:rPr>
          <w:szCs w:val="24"/>
        </w:rPr>
      </w:pPr>
    </w:p>
    <w:p w14:paraId="75DB77A6" w14:textId="77777777" w:rsidR="008470E0" w:rsidRPr="00340394" w:rsidRDefault="008470E0" w:rsidP="008470E0">
      <w:pPr>
        <w:tabs>
          <w:tab w:val="left" w:pos="5610"/>
        </w:tabs>
        <w:ind w:left="567" w:right="81"/>
      </w:pPr>
      <w:r w:rsidRPr="00340394">
        <w:rPr>
          <w:rFonts w:cs="Arial"/>
          <w:szCs w:val="24"/>
          <w:lang w:val="en-US"/>
        </w:rPr>
        <w:t xml:space="preserve">Risks included on corporate or directorate risk register? </w:t>
      </w:r>
      <w:r w:rsidRPr="00340394">
        <w:rPr>
          <w:rFonts w:cs="Arial"/>
          <w:b/>
          <w:bCs/>
          <w:szCs w:val="24"/>
          <w:lang w:val="en-US"/>
        </w:rPr>
        <w:t>Yes</w:t>
      </w:r>
    </w:p>
    <w:p w14:paraId="7F89FF55"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lastRenderedPageBreak/>
        <w:t xml:space="preserve">  </w:t>
      </w:r>
    </w:p>
    <w:p w14:paraId="6C154C99"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Separate risk register in place? </w:t>
      </w:r>
      <w:r w:rsidRPr="00340394">
        <w:rPr>
          <w:rFonts w:cs="Arial"/>
          <w:b/>
          <w:bCs/>
          <w:szCs w:val="24"/>
          <w:lang w:val="en-US" w:eastAsia="en-GB"/>
        </w:rPr>
        <w:t>No</w:t>
      </w:r>
    </w:p>
    <w:p w14:paraId="08287901" w14:textId="77777777" w:rsidR="008470E0" w:rsidRPr="00340394" w:rsidRDefault="008470E0" w:rsidP="008470E0">
      <w:pPr>
        <w:tabs>
          <w:tab w:val="left" w:pos="5610"/>
        </w:tabs>
        <w:ind w:left="567" w:right="81"/>
      </w:pPr>
    </w:p>
    <w:p w14:paraId="13B6D2BD" w14:textId="77777777" w:rsidR="008470E0" w:rsidRPr="00340394" w:rsidRDefault="008470E0" w:rsidP="008470E0">
      <w:pPr>
        <w:tabs>
          <w:tab w:val="left" w:pos="5610"/>
        </w:tabs>
        <w:ind w:left="567" w:right="81"/>
      </w:pPr>
      <w:r w:rsidRPr="00340394">
        <w:t xml:space="preserve">The relevant risks contained in the register are attached/summarised below. </w:t>
      </w:r>
      <w:r w:rsidRPr="00340394">
        <w:rPr>
          <w:rFonts w:cs="Arial"/>
          <w:b/>
          <w:bCs/>
          <w:szCs w:val="24"/>
          <w:lang w:val="en-US" w:eastAsia="en-GB"/>
        </w:rPr>
        <w:t>Yes</w:t>
      </w:r>
    </w:p>
    <w:p w14:paraId="67BF590D" w14:textId="77777777" w:rsidR="008470E0" w:rsidRPr="00340394" w:rsidRDefault="008470E0" w:rsidP="008470E0">
      <w:pPr>
        <w:ind w:left="-567"/>
      </w:pPr>
    </w:p>
    <w:p w14:paraId="32C830FF" w14:textId="77777777" w:rsidR="008470E0" w:rsidRPr="00340394" w:rsidRDefault="008470E0" w:rsidP="008470E0">
      <w:pPr>
        <w:ind w:left="567"/>
        <w:jc w:val="both"/>
      </w:pPr>
      <w:r w:rsidRPr="00340394">
        <w:t>The following key risks should be taken onto account when agreeing the recommendations in this report:</w:t>
      </w:r>
    </w:p>
    <w:p w14:paraId="450C8858" w14:textId="77777777" w:rsidR="008470E0" w:rsidRPr="00C6595B" w:rsidRDefault="008470E0" w:rsidP="008470E0">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8470E0" w:rsidRPr="00D43818" w14:paraId="7B729E0A"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6C6B" w14:textId="77777777" w:rsidR="008470E0" w:rsidRPr="004674C1" w:rsidRDefault="008470E0" w:rsidP="004B4AC2">
            <w:pPr>
              <w:ind w:left="34" w:right="141"/>
              <w:rPr>
                <w:rFonts w:cs="Arial"/>
                <w:b/>
                <w:bCs/>
                <w:sz w:val="20"/>
                <w:lang w:val="en-US" w:eastAsia="en-GB"/>
              </w:rPr>
            </w:pPr>
            <w:r w:rsidRPr="004674C1">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ED2F" w14:textId="77777777" w:rsidR="008470E0" w:rsidRPr="004674C1" w:rsidRDefault="008470E0" w:rsidP="004B4AC2">
            <w:pPr>
              <w:ind w:right="141" w:hanging="2"/>
              <w:rPr>
                <w:rFonts w:cs="Arial"/>
                <w:b/>
                <w:bCs/>
                <w:sz w:val="20"/>
                <w:lang w:val="en-US" w:eastAsia="en-GB"/>
              </w:rPr>
            </w:pPr>
            <w:r w:rsidRPr="004674C1">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A5F345" w14:textId="77777777" w:rsidR="008470E0" w:rsidRPr="004674C1" w:rsidRDefault="008470E0" w:rsidP="004B4AC2">
            <w:pPr>
              <w:ind w:left="567" w:right="141"/>
              <w:jc w:val="center"/>
              <w:rPr>
                <w:rFonts w:cs="Arial"/>
                <w:b/>
                <w:bCs/>
                <w:sz w:val="20"/>
                <w:lang w:val="en-US" w:eastAsia="en-GB"/>
              </w:rPr>
            </w:pPr>
            <w:r w:rsidRPr="004674C1">
              <w:rPr>
                <w:rFonts w:cs="Arial"/>
                <w:b/>
                <w:bCs/>
                <w:sz w:val="20"/>
                <w:lang w:val="en-US" w:eastAsia="en-GB"/>
              </w:rPr>
              <w:t xml:space="preserve">RAG Status </w:t>
            </w:r>
          </w:p>
        </w:tc>
      </w:tr>
      <w:tr w:rsidR="008470E0" w:rsidRPr="00D43818" w14:paraId="441C0BAF"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EF20" w14:textId="77777777" w:rsidR="008470E0" w:rsidRPr="006D1A86" w:rsidRDefault="008470E0" w:rsidP="004B4AC2">
            <w:pPr>
              <w:ind w:left="34" w:right="141"/>
              <w:rPr>
                <w:rFonts w:cs="Arial"/>
                <w:sz w:val="20"/>
                <w:lang w:val="en-US" w:eastAsia="en-GB"/>
              </w:rPr>
            </w:pPr>
            <w:r w:rsidRPr="006D1A86">
              <w:rPr>
                <w:rFonts w:cs="Arial"/>
                <w:sz w:val="20"/>
                <w:lang w:val="en-US" w:eastAsia="en-GB"/>
              </w:rPr>
              <w:t xml:space="preserve">Additions to the capital </w:t>
            </w:r>
            <w:proofErr w:type="spellStart"/>
            <w:r w:rsidRPr="006D1A86">
              <w:rPr>
                <w:rFonts w:cs="Arial"/>
                <w:sz w:val="20"/>
                <w:lang w:val="en-US" w:eastAsia="en-GB"/>
              </w:rPr>
              <w:t>programme</w:t>
            </w:r>
            <w:proofErr w:type="spellEnd"/>
            <w:r w:rsidRPr="006D1A86">
              <w:rPr>
                <w:rFonts w:cs="Arial"/>
                <w:sz w:val="20"/>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8475"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 xml:space="preserve">Funded by additional grants and contributions </w:t>
            </w:r>
            <w:r>
              <w:rPr>
                <w:rFonts w:cs="Arial"/>
                <w:sz w:val="20"/>
                <w:lang w:val="en-US" w:eastAsia="en-GB"/>
              </w:rPr>
              <w:t xml:space="preserve">and HRA borrowing costs met within the HRA </w:t>
            </w:r>
            <w:r w:rsidRPr="006D1A86">
              <w:rPr>
                <w:rFonts w:cs="Arial"/>
                <w:sz w:val="20"/>
                <w:lang w:val="en-US" w:eastAsia="en-GB"/>
              </w:rPr>
              <w:t>thus no additional capital financing costs will be incurred</w:t>
            </w:r>
            <w:r>
              <w:rPr>
                <w:rFonts w:cs="Arial"/>
                <w:sz w:val="20"/>
                <w:lang w:val="en-US" w:eastAsia="en-GB"/>
              </w:rPr>
              <w:t xml:space="preserve"> by the Council’s general fund budget</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00D2A48"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4C0AC30E"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69" w14:textId="77777777" w:rsidR="008470E0" w:rsidRPr="006D1A86" w:rsidRDefault="008470E0" w:rsidP="004B4AC2">
            <w:pPr>
              <w:ind w:left="34" w:right="141"/>
              <w:rPr>
                <w:rFonts w:cs="Arial"/>
                <w:sz w:val="20"/>
                <w:lang w:val="en-US" w:eastAsia="en-GB"/>
              </w:rPr>
            </w:pPr>
            <w:r w:rsidRPr="006D1A86">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33D6"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At Q1 the council can broadly manage a balanced budget, reporting a small overspend of £641k.</w:t>
            </w:r>
          </w:p>
          <w:p w14:paraId="53135B5B"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It is anticipated that by the end of the year this can be contained within budget through c</w:t>
            </w:r>
            <w:r w:rsidRPr="006D1A86">
              <w:rPr>
                <w:rFonts w:cs="Arial"/>
                <w:sz w:val="20"/>
                <w:lang w:val="en-US" w:eastAsia="en-GB"/>
              </w:rPr>
              <w:t xml:space="preserve">ontinued robust budget monitoring </w:t>
            </w:r>
            <w:r>
              <w:rPr>
                <w:rFonts w:cs="Arial"/>
                <w:sz w:val="20"/>
                <w:lang w:val="en-US" w:eastAsia="en-GB"/>
              </w:rPr>
              <w:t>and challenge.</w:t>
            </w:r>
            <w:r w:rsidRPr="006D1A86">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8A48EE6"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074B97E3"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BE16" w14:textId="491F429B" w:rsidR="008470E0" w:rsidRPr="006D1A86" w:rsidRDefault="008470E0" w:rsidP="004B4AC2">
            <w:pPr>
              <w:ind w:left="34" w:right="141"/>
              <w:rPr>
                <w:rFonts w:cs="Arial"/>
                <w:sz w:val="20"/>
                <w:lang w:val="en-US" w:eastAsia="en-GB"/>
              </w:rPr>
            </w:pPr>
            <w:r w:rsidRPr="006D1A86">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2F34"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Quarterly stakeholder groups</w:t>
            </w:r>
          </w:p>
          <w:p w14:paraId="0BD5B63C"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0BCD532"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bl>
    <w:p w14:paraId="7A0EA632" w14:textId="77777777" w:rsidR="008470E0" w:rsidRPr="00C6595B" w:rsidRDefault="008470E0" w:rsidP="008470E0">
      <w:pPr>
        <w:ind w:left="567"/>
        <w:jc w:val="both"/>
        <w:rPr>
          <w:color w:val="FF0000"/>
          <w:szCs w:val="24"/>
          <w:lang w:val="en-US"/>
        </w:rPr>
      </w:pPr>
    </w:p>
    <w:p w14:paraId="1F0AB7FD" w14:textId="18D1D7DB" w:rsidR="008470E0" w:rsidRPr="00F52080" w:rsidRDefault="008470E0" w:rsidP="008470E0">
      <w:pPr>
        <w:pStyle w:val="Heading2"/>
        <w:tabs>
          <w:tab w:val="left" w:pos="567"/>
        </w:tabs>
        <w:jc w:val="both"/>
        <w:rPr>
          <w:sz w:val="24"/>
          <w:szCs w:val="24"/>
        </w:rPr>
      </w:pPr>
      <w:r w:rsidRPr="00F52080">
        <w:rPr>
          <w:b w:val="0"/>
          <w:sz w:val="24"/>
          <w:szCs w:val="24"/>
        </w:rPr>
        <w:t>10.0</w:t>
      </w:r>
      <w:r>
        <w:rPr>
          <w:b w:val="0"/>
          <w:sz w:val="24"/>
          <w:szCs w:val="24"/>
        </w:rPr>
        <w:t xml:space="preserve"> </w:t>
      </w:r>
      <w:r w:rsidRPr="00F52080">
        <w:rPr>
          <w:sz w:val="24"/>
          <w:szCs w:val="24"/>
        </w:rPr>
        <w:tab/>
      </w:r>
      <w:r w:rsidRPr="008470E0">
        <w:rPr>
          <w:rFonts w:ascii="Arial" w:hAnsi="Arial"/>
          <w:bCs w:val="0"/>
          <w:sz w:val="24"/>
          <w:szCs w:val="24"/>
        </w:rPr>
        <w:t>Procurement Implications</w:t>
      </w:r>
      <w:r w:rsidRPr="00F52080">
        <w:rPr>
          <w:sz w:val="24"/>
          <w:szCs w:val="24"/>
        </w:rPr>
        <w:t xml:space="preserve"> </w:t>
      </w:r>
    </w:p>
    <w:p w14:paraId="79412712" w14:textId="77777777" w:rsidR="008470E0" w:rsidRPr="00F52080" w:rsidRDefault="008470E0" w:rsidP="008470E0">
      <w:pPr>
        <w:tabs>
          <w:tab w:val="left" w:pos="567"/>
        </w:tabs>
        <w:jc w:val="both"/>
        <w:rPr>
          <w:szCs w:val="24"/>
        </w:rPr>
      </w:pPr>
    </w:p>
    <w:p w14:paraId="5384C64A" w14:textId="77777777" w:rsidR="008470E0" w:rsidRPr="00F52080" w:rsidRDefault="008470E0" w:rsidP="008470E0">
      <w:pPr>
        <w:tabs>
          <w:tab w:val="left" w:pos="567"/>
        </w:tabs>
        <w:ind w:left="567"/>
        <w:jc w:val="both"/>
        <w:rPr>
          <w:szCs w:val="24"/>
        </w:rPr>
      </w:pPr>
      <w:r w:rsidRPr="00F52080">
        <w:rPr>
          <w:szCs w:val="24"/>
        </w:rPr>
        <w:t>There are no procurement implication arising from this report</w:t>
      </w:r>
    </w:p>
    <w:p w14:paraId="27B7DC53" w14:textId="77777777" w:rsidR="008470E0" w:rsidRPr="00F52080" w:rsidRDefault="008470E0" w:rsidP="008470E0">
      <w:pPr>
        <w:pStyle w:val="Heading2"/>
        <w:jc w:val="both"/>
        <w:rPr>
          <w:sz w:val="24"/>
          <w:szCs w:val="24"/>
        </w:rPr>
      </w:pPr>
    </w:p>
    <w:p w14:paraId="538C3504" w14:textId="73A4EAD5" w:rsidR="008470E0" w:rsidRPr="008470E0" w:rsidRDefault="008470E0" w:rsidP="008470E0">
      <w:pPr>
        <w:pStyle w:val="Heading2"/>
        <w:ind w:left="567" w:hanging="567"/>
        <w:jc w:val="both"/>
        <w:rPr>
          <w:rFonts w:ascii="Arial" w:hAnsi="Arial"/>
          <w:bCs w:val="0"/>
          <w:sz w:val="24"/>
          <w:szCs w:val="24"/>
        </w:rPr>
      </w:pPr>
      <w:r w:rsidRPr="00F52080">
        <w:rPr>
          <w:b w:val="0"/>
          <w:sz w:val="24"/>
          <w:szCs w:val="24"/>
        </w:rPr>
        <w:t>11.0</w:t>
      </w:r>
      <w:r>
        <w:rPr>
          <w:b w:val="0"/>
          <w:sz w:val="24"/>
          <w:szCs w:val="24"/>
        </w:rPr>
        <w:t xml:space="preserve"> </w:t>
      </w:r>
      <w:r w:rsidRPr="00F52080">
        <w:rPr>
          <w:sz w:val="24"/>
          <w:szCs w:val="24"/>
        </w:rPr>
        <w:tab/>
      </w:r>
      <w:r w:rsidRPr="008470E0">
        <w:rPr>
          <w:rFonts w:ascii="Arial" w:hAnsi="Arial"/>
          <w:bCs w:val="0"/>
          <w:sz w:val="24"/>
          <w:szCs w:val="24"/>
        </w:rPr>
        <w:t>Legal Implications</w:t>
      </w:r>
    </w:p>
    <w:p w14:paraId="44DAC4A0" w14:textId="77777777" w:rsidR="008470E0" w:rsidRPr="00F52080" w:rsidRDefault="008470E0" w:rsidP="008470E0">
      <w:pPr>
        <w:jc w:val="both"/>
        <w:rPr>
          <w:szCs w:val="24"/>
        </w:rPr>
      </w:pPr>
    </w:p>
    <w:p w14:paraId="17B616BA" w14:textId="77777777" w:rsidR="008470E0" w:rsidRPr="00F52080" w:rsidRDefault="008470E0" w:rsidP="008470E0">
      <w:pPr>
        <w:ind w:left="567"/>
        <w:jc w:val="both"/>
        <w:rPr>
          <w:szCs w:val="24"/>
        </w:rPr>
      </w:pPr>
      <w:r w:rsidRPr="00F52080">
        <w:rPr>
          <w:szCs w:val="24"/>
        </w:rPr>
        <w:t xml:space="preserve">Section 151 of the Local Government Act 1972 states that without prejudice to section 111, every local authority shall </w:t>
      </w:r>
      <w:proofErr w:type="gramStart"/>
      <w:r w:rsidRPr="00F52080">
        <w:rPr>
          <w:szCs w:val="24"/>
        </w:rPr>
        <w:t>make arrangements</w:t>
      </w:r>
      <w:proofErr w:type="gramEnd"/>
      <w:r w:rsidRPr="00F52080">
        <w:rPr>
          <w:szCs w:val="24"/>
        </w:rPr>
        <w:t xml:space="preserve">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3F92A6ED" w14:textId="77777777" w:rsidR="008470E0" w:rsidRPr="00F52080" w:rsidRDefault="008470E0" w:rsidP="008470E0">
      <w:pPr>
        <w:ind w:left="567"/>
        <w:jc w:val="both"/>
        <w:rPr>
          <w:szCs w:val="24"/>
        </w:rPr>
      </w:pPr>
    </w:p>
    <w:p w14:paraId="781AA544" w14:textId="0E790372" w:rsidR="008470E0" w:rsidRPr="00F52080" w:rsidRDefault="008470E0" w:rsidP="008470E0">
      <w:pPr>
        <w:ind w:left="567"/>
        <w:jc w:val="both"/>
        <w:rPr>
          <w:szCs w:val="24"/>
        </w:rPr>
      </w:pPr>
      <w:r w:rsidRPr="00F52080">
        <w:rPr>
          <w:szCs w:val="24"/>
        </w:rPr>
        <w:t xml:space="preserve">Additions to the Capital Programme are dealt with in B48 of the Financial Regulations, the additions above are within the thresholds allowed for Cabinet. </w:t>
      </w:r>
    </w:p>
    <w:p w14:paraId="3143135F" w14:textId="77777777" w:rsidR="008470E0" w:rsidRPr="00F52080" w:rsidRDefault="008470E0" w:rsidP="008470E0">
      <w:pPr>
        <w:ind w:left="567"/>
        <w:jc w:val="both"/>
        <w:rPr>
          <w:b/>
          <w:szCs w:val="24"/>
        </w:rPr>
      </w:pPr>
    </w:p>
    <w:p w14:paraId="754AEC1D" w14:textId="50AC0E14" w:rsidR="008470E0" w:rsidRPr="00F52080" w:rsidRDefault="008470E0" w:rsidP="008470E0">
      <w:pPr>
        <w:pStyle w:val="Heading2"/>
        <w:ind w:left="567" w:hanging="567"/>
        <w:jc w:val="both"/>
        <w:rPr>
          <w:sz w:val="24"/>
          <w:szCs w:val="24"/>
        </w:rPr>
      </w:pPr>
      <w:r w:rsidRPr="00F52080">
        <w:rPr>
          <w:b w:val="0"/>
          <w:sz w:val="24"/>
          <w:szCs w:val="24"/>
        </w:rPr>
        <w:t>12.0</w:t>
      </w:r>
      <w:r w:rsidRPr="00F52080">
        <w:rPr>
          <w:sz w:val="24"/>
          <w:szCs w:val="24"/>
        </w:rPr>
        <w:tab/>
      </w:r>
      <w:r>
        <w:rPr>
          <w:sz w:val="24"/>
          <w:szCs w:val="24"/>
        </w:rPr>
        <w:t xml:space="preserve"> </w:t>
      </w:r>
      <w:r w:rsidRPr="008470E0">
        <w:rPr>
          <w:rFonts w:ascii="Arial" w:hAnsi="Arial"/>
          <w:bCs w:val="0"/>
          <w:sz w:val="24"/>
          <w:szCs w:val="24"/>
        </w:rPr>
        <w:t>Financial Implications</w:t>
      </w:r>
    </w:p>
    <w:p w14:paraId="5651151C" w14:textId="77777777" w:rsidR="008470E0" w:rsidRPr="00F52080" w:rsidRDefault="008470E0" w:rsidP="008470E0">
      <w:pPr>
        <w:tabs>
          <w:tab w:val="left" w:pos="709"/>
        </w:tabs>
        <w:ind w:left="567" w:hanging="567"/>
        <w:jc w:val="both"/>
        <w:rPr>
          <w:szCs w:val="24"/>
        </w:rPr>
      </w:pPr>
      <w:r w:rsidRPr="00F52080">
        <w:rPr>
          <w:szCs w:val="24"/>
        </w:rPr>
        <w:tab/>
        <w:t>Financial matters are integral to this report.</w:t>
      </w:r>
    </w:p>
    <w:p w14:paraId="7FA3C7AF" w14:textId="77777777" w:rsidR="008470E0" w:rsidRPr="00F52080" w:rsidRDefault="008470E0" w:rsidP="008470E0">
      <w:pPr>
        <w:pStyle w:val="Heading2"/>
        <w:jc w:val="both"/>
        <w:rPr>
          <w:sz w:val="24"/>
          <w:szCs w:val="24"/>
        </w:rPr>
      </w:pPr>
    </w:p>
    <w:p w14:paraId="49306FB9" w14:textId="169797ED" w:rsidR="008470E0" w:rsidRPr="00F52080" w:rsidRDefault="008470E0" w:rsidP="008470E0">
      <w:pPr>
        <w:pStyle w:val="Heading2"/>
        <w:keepNext/>
        <w:ind w:left="567" w:hanging="567"/>
        <w:jc w:val="both"/>
        <w:rPr>
          <w:sz w:val="24"/>
          <w:szCs w:val="24"/>
        </w:rPr>
      </w:pPr>
      <w:r w:rsidRPr="00F52080">
        <w:rPr>
          <w:b w:val="0"/>
          <w:sz w:val="24"/>
          <w:szCs w:val="24"/>
        </w:rPr>
        <w:t>13.0</w:t>
      </w:r>
      <w:r w:rsidRPr="00F52080">
        <w:rPr>
          <w:sz w:val="24"/>
          <w:szCs w:val="24"/>
        </w:rPr>
        <w:tab/>
      </w:r>
      <w:r>
        <w:rPr>
          <w:sz w:val="24"/>
          <w:szCs w:val="24"/>
        </w:rPr>
        <w:t xml:space="preserve"> </w:t>
      </w:r>
      <w:r w:rsidRPr="008470E0">
        <w:rPr>
          <w:rFonts w:ascii="Arial" w:hAnsi="Arial"/>
          <w:bCs w:val="0"/>
          <w:sz w:val="24"/>
          <w:szCs w:val="24"/>
        </w:rPr>
        <w:t>Equalities implications / Public Sector Equality Duty</w:t>
      </w:r>
    </w:p>
    <w:p w14:paraId="623ADC74" w14:textId="77777777" w:rsidR="008470E0" w:rsidRPr="00F52080" w:rsidRDefault="008470E0" w:rsidP="008470E0">
      <w:pPr>
        <w:ind w:left="567" w:hanging="567"/>
      </w:pPr>
    </w:p>
    <w:p w14:paraId="07283C97" w14:textId="77777777" w:rsidR="008470E0" w:rsidRPr="00F52080" w:rsidRDefault="008470E0" w:rsidP="008470E0">
      <w:pPr>
        <w:ind w:left="567" w:hanging="567"/>
      </w:pPr>
      <w:r w:rsidRPr="00F52080">
        <w:t xml:space="preserve">13.1 Decision makers should have due regard to the public sector equality duty in making their decisions. The equalities duties are continuing </w:t>
      </w:r>
      <w:r w:rsidRPr="00F52080">
        <w:lastRenderedPageBreak/>
        <w:t>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2DA9164B" w14:textId="77777777" w:rsidR="008470E0" w:rsidRPr="00F52080" w:rsidRDefault="008470E0" w:rsidP="008470E0">
      <w:pPr>
        <w:ind w:left="567" w:hanging="567"/>
      </w:pPr>
    </w:p>
    <w:p w14:paraId="4AC8FFE1" w14:textId="77777777" w:rsidR="008470E0" w:rsidRPr="00F52080" w:rsidRDefault="008470E0" w:rsidP="008470E0">
      <w:pPr>
        <w:ind w:left="567" w:hanging="567"/>
      </w:pPr>
      <w:r w:rsidRPr="00F52080">
        <w:t>13.2 A public authority must, in the exercise of its functions, have due regard to the need to:</w:t>
      </w:r>
    </w:p>
    <w:p w14:paraId="1C0D4344" w14:textId="77777777" w:rsidR="008470E0" w:rsidRPr="00F52080" w:rsidRDefault="008470E0" w:rsidP="008470E0">
      <w:pPr>
        <w:ind w:left="709"/>
      </w:pPr>
    </w:p>
    <w:p w14:paraId="43DA4A17" w14:textId="77777777" w:rsidR="008470E0" w:rsidRPr="00F52080" w:rsidRDefault="008470E0" w:rsidP="008470E0">
      <w:pPr>
        <w:pStyle w:val="ListParagraph"/>
        <w:numPr>
          <w:ilvl w:val="0"/>
          <w:numId w:val="8"/>
        </w:numPr>
      </w:pPr>
      <w:r w:rsidRPr="00F52080">
        <w:t>eliminate discrimination, harassment, victimisation and any other conduct that is prohibited by or under this Act;</w:t>
      </w:r>
    </w:p>
    <w:p w14:paraId="28592BA6" w14:textId="77777777" w:rsidR="008470E0" w:rsidRPr="00F52080" w:rsidRDefault="008470E0" w:rsidP="008470E0">
      <w:pPr>
        <w:pStyle w:val="ListParagraph"/>
        <w:numPr>
          <w:ilvl w:val="0"/>
          <w:numId w:val="8"/>
        </w:numPr>
      </w:pPr>
      <w:r w:rsidRPr="00F52080">
        <w:t>advance equality of opportunity between persons who share a relevant protected characteristic and persons who do not share it;</w:t>
      </w:r>
    </w:p>
    <w:p w14:paraId="7FEC4A3B" w14:textId="77777777" w:rsidR="008470E0" w:rsidRPr="00F52080" w:rsidRDefault="008470E0" w:rsidP="008470E0">
      <w:pPr>
        <w:pStyle w:val="ListParagraph"/>
        <w:numPr>
          <w:ilvl w:val="0"/>
          <w:numId w:val="8"/>
        </w:numPr>
      </w:pPr>
      <w:r w:rsidRPr="00F52080">
        <w:t>Foster good relations between persons who share a relevant protected characteristic and persons who do not share it.</w:t>
      </w:r>
    </w:p>
    <w:p w14:paraId="26E8ABDA" w14:textId="77777777" w:rsidR="008470E0" w:rsidRPr="00F52080" w:rsidRDefault="008470E0" w:rsidP="008470E0">
      <w:pPr>
        <w:pStyle w:val="ListParagraph"/>
        <w:ind w:left="1429"/>
      </w:pPr>
    </w:p>
    <w:p w14:paraId="47158BC2" w14:textId="77777777" w:rsidR="008470E0" w:rsidRPr="00F52080" w:rsidRDefault="008470E0" w:rsidP="008470E0">
      <w:pPr>
        <w:ind w:left="720" w:hanging="720"/>
      </w:pPr>
      <w:r w:rsidRPr="00F52080">
        <w:t>13.2</w:t>
      </w:r>
      <w:r w:rsidRPr="00F52080">
        <w:tab/>
        <w:t>Having due regard to the need to advance equality of opportunity between persons who share a relevant protected characteristic and persons who do not share it involves having due regard</w:t>
      </w:r>
      <w:proofErr w:type="gramStart"/>
      <w:r w:rsidRPr="00F52080">
        <w:t>, in particular, to</w:t>
      </w:r>
      <w:proofErr w:type="gramEnd"/>
      <w:r w:rsidRPr="00F52080">
        <w:t xml:space="preserve"> the need to:</w:t>
      </w:r>
    </w:p>
    <w:p w14:paraId="209F68D8" w14:textId="77777777" w:rsidR="008470E0" w:rsidRPr="00F52080" w:rsidRDefault="008470E0" w:rsidP="008470E0">
      <w:pPr>
        <w:ind w:left="709"/>
      </w:pPr>
    </w:p>
    <w:p w14:paraId="1E85F85E" w14:textId="77777777" w:rsidR="008470E0" w:rsidRPr="00F52080" w:rsidRDefault="008470E0" w:rsidP="008470E0">
      <w:pPr>
        <w:pStyle w:val="ListParagraph"/>
        <w:numPr>
          <w:ilvl w:val="0"/>
          <w:numId w:val="9"/>
        </w:numPr>
      </w:pPr>
      <w:r w:rsidRPr="00F52080">
        <w:t>remove or minimise disadvantages suffered by persons who share a relevant protected characteristic that are connected to that characteristic;</w:t>
      </w:r>
    </w:p>
    <w:p w14:paraId="1495F615" w14:textId="77777777" w:rsidR="008470E0" w:rsidRPr="00F52080" w:rsidRDefault="008470E0" w:rsidP="008470E0">
      <w:pPr>
        <w:pStyle w:val="ListParagraph"/>
        <w:numPr>
          <w:ilvl w:val="0"/>
          <w:numId w:val="9"/>
        </w:numPr>
      </w:pPr>
      <w:r w:rsidRPr="00F52080">
        <w:t>take steps to meet the needs of persons who share a relevant protected characteristic that are different from the needs of persons who do not share it;</w:t>
      </w:r>
    </w:p>
    <w:p w14:paraId="580E457D" w14:textId="77777777" w:rsidR="008470E0" w:rsidRPr="00F52080" w:rsidRDefault="008470E0" w:rsidP="008470E0">
      <w:pPr>
        <w:pStyle w:val="ListParagraph"/>
        <w:numPr>
          <w:ilvl w:val="0"/>
          <w:numId w:val="9"/>
        </w:numPr>
      </w:pPr>
      <w:r w:rsidRPr="00F52080">
        <w:t>Encourage persons who share a relevant protected characteristic to participate in public life or in any other activity in which participation by such persons is disproportionately low.</w:t>
      </w:r>
    </w:p>
    <w:p w14:paraId="368CBFA7" w14:textId="77777777" w:rsidR="008470E0" w:rsidRPr="00F52080" w:rsidRDefault="008470E0" w:rsidP="008470E0">
      <w:pPr>
        <w:ind w:left="1418"/>
      </w:pPr>
      <w:r w:rsidRPr="00F52080">
        <w:t>The steps involved in meeting the needs of disabled persons that are different from the needs of persons who are not disabled include</w:t>
      </w:r>
      <w:proofErr w:type="gramStart"/>
      <w:r w:rsidRPr="00F52080">
        <w:t>, in particular, steps</w:t>
      </w:r>
      <w:proofErr w:type="gramEnd"/>
      <w:r w:rsidRPr="00F52080">
        <w:t xml:space="preserve"> to take account of disabled persons’ disabilities.</w:t>
      </w:r>
    </w:p>
    <w:p w14:paraId="50A12B14" w14:textId="77777777" w:rsidR="008470E0" w:rsidRPr="00F52080" w:rsidRDefault="008470E0" w:rsidP="008470E0">
      <w:pPr>
        <w:ind w:left="1418"/>
      </w:pPr>
      <w:r w:rsidRPr="00F52080">
        <w:t>Having due regard to the need to foster good relations between persons who share a relevant protected characteristic and persons who do not share it involves having due regard</w:t>
      </w:r>
      <w:proofErr w:type="gramStart"/>
      <w:r w:rsidRPr="00F52080">
        <w:t>, in particular, to</w:t>
      </w:r>
      <w:proofErr w:type="gramEnd"/>
      <w:r w:rsidRPr="00F52080">
        <w:t xml:space="preserve"> the need to:</w:t>
      </w:r>
    </w:p>
    <w:p w14:paraId="51FE8E0F" w14:textId="77777777" w:rsidR="008470E0" w:rsidRPr="00F52080" w:rsidRDefault="008470E0" w:rsidP="008470E0">
      <w:pPr>
        <w:pStyle w:val="ListParagraph"/>
        <w:numPr>
          <w:ilvl w:val="0"/>
          <w:numId w:val="11"/>
        </w:numPr>
      </w:pPr>
      <w:r w:rsidRPr="00F52080">
        <w:t>Tackle prejudice, and</w:t>
      </w:r>
    </w:p>
    <w:p w14:paraId="2D9CAF97" w14:textId="77777777" w:rsidR="008470E0" w:rsidRPr="00F52080" w:rsidRDefault="008470E0" w:rsidP="008470E0">
      <w:pPr>
        <w:pStyle w:val="ListParagraph"/>
        <w:numPr>
          <w:ilvl w:val="0"/>
          <w:numId w:val="10"/>
        </w:numPr>
      </w:pPr>
      <w:r w:rsidRPr="00F52080">
        <w:t>Promote understanding.</w:t>
      </w:r>
    </w:p>
    <w:p w14:paraId="6F08FB09" w14:textId="77777777" w:rsidR="008470E0" w:rsidRPr="00F52080" w:rsidRDefault="008470E0" w:rsidP="008470E0">
      <w:pPr>
        <w:pStyle w:val="ListParagraph"/>
        <w:ind w:left="1429"/>
      </w:pPr>
    </w:p>
    <w:p w14:paraId="4693778A" w14:textId="77777777" w:rsidR="008470E0" w:rsidRPr="00F52080" w:rsidRDefault="008470E0" w:rsidP="008470E0">
      <w:pPr>
        <w:ind w:left="720" w:hanging="720"/>
      </w:pPr>
      <w:r w:rsidRPr="00F52080">
        <w:t>13.3</w:t>
      </w:r>
      <w:r w:rsidRPr="00F52080">
        <w:tab/>
        <w:t>Compliance with the duties in this section may involve treating some persons more favourably than others; but that is not to be taken as permitting conduct that would otherwise be prohibited by or under this Act. The relevant protected characteristics are:</w:t>
      </w:r>
    </w:p>
    <w:p w14:paraId="225DB8EF" w14:textId="77777777" w:rsidR="008470E0" w:rsidRPr="00F52080" w:rsidRDefault="008470E0" w:rsidP="008470E0">
      <w:pPr>
        <w:ind w:left="1134"/>
      </w:pPr>
      <w:r w:rsidRPr="00F52080">
        <w:t>•</w:t>
      </w:r>
      <w:r w:rsidRPr="00F52080">
        <w:tab/>
        <w:t>Age</w:t>
      </w:r>
    </w:p>
    <w:p w14:paraId="008C6D76" w14:textId="77777777" w:rsidR="008470E0" w:rsidRPr="00F52080" w:rsidRDefault="008470E0" w:rsidP="008470E0">
      <w:pPr>
        <w:ind w:left="1134"/>
      </w:pPr>
      <w:r w:rsidRPr="00F52080">
        <w:t>•</w:t>
      </w:r>
      <w:r w:rsidRPr="00F52080">
        <w:tab/>
        <w:t>Disability</w:t>
      </w:r>
    </w:p>
    <w:p w14:paraId="26500A08" w14:textId="77777777" w:rsidR="008470E0" w:rsidRPr="00F52080" w:rsidRDefault="008470E0" w:rsidP="008470E0">
      <w:pPr>
        <w:ind w:left="1134"/>
      </w:pPr>
      <w:r w:rsidRPr="00F52080">
        <w:t>•</w:t>
      </w:r>
      <w:r w:rsidRPr="00F52080">
        <w:tab/>
        <w:t>Gender reassignment</w:t>
      </w:r>
    </w:p>
    <w:p w14:paraId="679D974B" w14:textId="77777777" w:rsidR="008470E0" w:rsidRPr="00F52080" w:rsidRDefault="008470E0" w:rsidP="008470E0">
      <w:pPr>
        <w:ind w:left="1134"/>
      </w:pPr>
      <w:r w:rsidRPr="00F52080">
        <w:lastRenderedPageBreak/>
        <w:t>•</w:t>
      </w:r>
      <w:r w:rsidRPr="00F52080">
        <w:tab/>
        <w:t>Pregnancy and maternity</w:t>
      </w:r>
    </w:p>
    <w:p w14:paraId="23C1FB0B" w14:textId="77777777" w:rsidR="008470E0" w:rsidRPr="00F52080" w:rsidRDefault="008470E0" w:rsidP="008470E0">
      <w:pPr>
        <w:ind w:left="1134"/>
      </w:pPr>
      <w:r w:rsidRPr="00F52080">
        <w:t>•</w:t>
      </w:r>
      <w:r w:rsidRPr="00F52080">
        <w:tab/>
        <w:t>Race,</w:t>
      </w:r>
    </w:p>
    <w:p w14:paraId="63C8883F" w14:textId="77777777" w:rsidR="008470E0" w:rsidRPr="00F52080" w:rsidRDefault="008470E0" w:rsidP="008470E0">
      <w:pPr>
        <w:ind w:left="1134"/>
      </w:pPr>
      <w:r w:rsidRPr="00F52080">
        <w:t>•</w:t>
      </w:r>
      <w:r w:rsidRPr="00F52080">
        <w:tab/>
        <w:t>Religion or belief</w:t>
      </w:r>
    </w:p>
    <w:p w14:paraId="1F1FBC05" w14:textId="77777777" w:rsidR="008470E0" w:rsidRPr="00F52080" w:rsidRDefault="008470E0" w:rsidP="008470E0">
      <w:pPr>
        <w:ind w:left="1134"/>
      </w:pPr>
      <w:r w:rsidRPr="00F52080">
        <w:t>•</w:t>
      </w:r>
      <w:r w:rsidRPr="00F52080">
        <w:tab/>
        <w:t>Sex</w:t>
      </w:r>
    </w:p>
    <w:p w14:paraId="1F7CCB35" w14:textId="77777777" w:rsidR="008470E0" w:rsidRPr="00F52080" w:rsidRDefault="008470E0" w:rsidP="008470E0">
      <w:pPr>
        <w:ind w:left="1134"/>
      </w:pPr>
      <w:r w:rsidRPr="00F52080">
        <w:t>•</w:t>
      </w:r>
      <w:r w:rsidRPr="00F52080">
        <w:tab/>
        <w:t>Sexual orientation</w:t>
      </w:r>
    </w:p>
    <w:p w14:paraId="118C7D5C" w14:textId="77777777" w:rsidR="008470E0" w:rsidRPr="00F52080" w:rsidRDefault="008470E0" w:rsidP="008470E0">
      <w:pPr>
        <w:ind w:left="1134"/>
      </w:pPr>
      <w:r w:rsidRPr="00F52080">
        <w:t>•</w:t>
      </w:r>
      <w:r w:rsidRPr="00F52080">
        <w:tab/>
        <w:t>Marriage and Civil partnership</w:t>
      </w:r>
    </w:p>
    <w:p w14:paraId="55B1E260" w14:textId="77777777" w:rsidR="008470E0" w:rsidRPr="00E41F8A" w:rsidRDefault="008470E0" w:rsidP="008470E0">
      <w:pPr>
        <w:ind w:left="709"/>
      </w:pPr>
    </w:p>
    <w:p w14:paraId="2446604F" w14:textId="77777777" w:rsidR="008470E0" w:rsidRPr="00E41F8A" w:rsidRDefault="008470E0" w:rsidP="008470E0"/>
    <w:p w14:paraId="3AE96B99" w14:textId="77777777" w:rsidR="008470E0" w:rsidRPr="00E41F8A" w:rsidRDefault="008470E0" w:rsidP="008470E0">
      <w:pPr>
        <w:rPr>
          <w:szCs w:val="24"/>
        </w:rPr>
      </w:pPr>
      <w:r w:rsidRPr="00E41F8A">
        <w:rPr>
          <w:szCs w:val="24"/>
        </w:rPr>
        <w:t>13.4</w:t>
      </w:r>
      <w:r w:rsidRPr="00E41F8A">
        <w:rPr>
          <w:szCs w:val="24"/>
        </w:rPr>
        <w:tab/>
        <w:t>Equality assessments were undertaken for the budget proposals agreed by Council listed as part of the MTFS process and an overall equality assessment was undertaken on the MTFS. There is only recommendation in this report for decision “That Cabinet approve the proposed amendments to the Capital Programme as set out in paragraphs 3.33 to 3.41” it is not considered that this will have a detrimental equalities impact.</w:t>
      </w:r>
    </w:p>
    <w:p w14:paraId="27D1AF90" w14:textId="77777777" w:rsidR="008470E0" w:rsidRPr="00E41F8A" w:rsidRDefault="008470E0" w:rsidP="008470E0">
      <w:pPr>
        <w:ind w:left="709" w:hanging="709"/>
        <w:jc w:val="both"/>
        <w:rPr>
          <w:szCs w:val="24"/>
        </w:rPr>
      </w:pPr>
    </w:p>
    <w:p w14:paraId="3248FF21" w14:textId="77777777" w:rsidR="008470E0" w:rsidRPr="00E41F8A" w:rsidRDefault="008470E0" w:rsidP="008470E0">
      <w:pPr>
        <w:ind w:left="709" w:hanging="709"/>
        <w:jc w:val="both"/>
        <w:rPr>
          <w:szCs w:val="24"/>
        </w:rPr>
      </w:pPr>
      <w:r w:rsidRPr="00E41F8A">
        <w:rPr>
          <w:szCs w:val="24"/>
        </w:rPr>
        <w:t>It is not considered that this report will have any further equality implications.</w:t>
      </w:r>
    </w:p>
    <w:p w14:paraId="35706A55" w14:textId="77777777" w:rsidR="008470E0" w:rsidRPr="00E41F8A" w:rsidRDefault="008470E0" w:rsidP="008470E0">
      <w:pPr>
        <w:ind w:left="709"/>
        <w:jc w:val="both"/>
        <w:rPr>
          <w:szCs w:val="24"/>
        </w:rPr>
      </w:pPr>
    </w:p>
    <w:p w14:paraId="34AC1473" w14:textId="77777777" w:rsidR="008470E0" w:rsidRPr="00E41F8A" w:rsidRDefault="008470E0" w:rsidP="008470E0">
      <w:pPr>
        <w:ind w:left="709" w:hanging="709"/>
        <w:rPr>
          <w:b/>
          <w:szCs w:val="24"/>
        </w:rPr>
      </w:pPr>
      <w:r w:rsidRPr="00E41F8A">
        <w:rPr>
          <w:szCs w:val="24"/>
        </w:rPr>
        <w:t>14.0</w:t>
      </w:r>
      <w:r w:rsidRPr="00E41F8A">
        <w:rPr>
          <w:b/>
          <w:szCs w:val="24"/>
        </w:rPr>
        <w:tab/>
        <w:t>Council Priorities</w:t>
      </w:r>
    </w:p>
    <w:p w14:paraId="489943E3" w14:textId="77777777" w:rsidR="008470E0" w:rsidRPr="00E41F8A" w:rsidRDefault="008470E0" w:rsidP="008470E0">
      <w:pPr>
        <w:rPr>
          <w:szCs w:val="24"/>
        </w:rPr>
      </w:pPr>
    </w:p>
    <w:p w14:paraId="3ACE3993" w14:textId="77777777" w:rsidR="008470E0" w:rsidRPr="00E41F8A" w:rsidRDefault="008470E0" w:rsidP="008470E0">
      <w:pPr>
        <w:ind w:left="709"/>
        <w:rPr>
          <w:szCs w:val="24"/>
        </w:rPr>
      </w:pPr>
      <w:r w:rsidRPr="00E41F8A">
        <w:rPr>
          <w:szCs w:val="24"/>
        </w:rPr>
        <w:t>The Council’s vision:</w:t>
      </w:r>
      <w:r w:rsidRPr="00E41F8A">
        <w:rPr>
          <w:szCs w:val="24"/>
        </w:rPr>
        <w:tab/>
      </w:r>
    </w:p>
    <w:p w14:paraId="14839BA4" w14:textId="77777777" w:rsidR="008470E0" w:rsidRPr="00E41F8A" w:rsidRDefault="008470E0" w:rsidP="008470E0">
      <w:pPr>
        <w:ind w:left="709"/>
        <w:rPr>
          <w:szCs w:val="24"/>
        </w:rPr>
      </w:pPr>
    </w:p>
    <w:p w14:paraId="17F690E3" w14:textId="77777777" w:rsidR="008470E0" w:rsidRPr="00E41F8A" w:rsidRDefault="008470E0" w:rsidP="008470E0">
      <w:pPr>
        <w:ind w:left="709"/>
        <w:rPr>
          <w:szCs w:val="24"/>
        </w:rPr>
      </w:pPr>
      <w:r w:rsidRPr="00E41F8A">
        <w:rPr>
          <w:b/>
          <w:szCs w:val="24"/>
        </w:rPr>
        <w:t>Working Together to Make a Difference for Harrow</w:t>
      </w:r>
      <w:r w:rsidRPr="00E41F8A">
        <w:rPr>
          <w:szCs w:val="24"/>
        </w:rPr>
        <w:t xml:space="preserve"> </w:t>
      </w:r>
    </w:p>
    <w:p w14:paraId="692111AE" w14:textId="77777777" w:rsidR="008470E0" w:rsidRPr="00E41F8A" w:rsidRDefault="008470E0" w:rsidP="008470E0">
      <w:pPr>
        <w:ind w:left="709"/>
        <w:rPr>
          <w:szCs w:val="24"/>
        </w:rPr>
      </w:pPr>
      <w:r w:rsidRPr="00E41F8A">
        <w:rPr>
          <w:szCs w:val="24"/>
        </w:rPr>
        <w:t>This report deals with the Revenue monitoring which is key to delivering the Council’s new priorities:</w:t>
      </w:r>
    </w:p>
    <w:p w14:paraId="34B02969" w14:textId="77777777" w:rsidR="008470E0" w:rsidRPr="00E41F8A" w:rsidRDefault="008470E0" w:rsidP="008470E0">
      <w:pPr>
        <w:numPr>
          <w:ilvl w:val="0"/>
          <w:numId w:val="4"/>
        </w:numPr>
        <w:ind w:left="1418" w:hanging="284"/>
        <w:rPr>
          <w:szCs w:val="24"/>
        </w:rPr>
      </w:pPr>
      <w:r w:rsidRPr="00E41F8A">
        <w:rPr>
          <w:szCs w:val="24"/>
        </w:rPr>
        <w:t>Making a difference for the vulnerable</w:t>
      </w:r>
    </w:p>
    <w:p w14:paraId="65317BE1" w14:textId="77777777" w:rsidR="008470E0" w:rsidRPr="00E41F8A" w:rsidRDefault="008470E0" w:rsidP="008470E0">
      <w:pPr>
        <w:numPr>
          <w:ilvl w:val="0"/>
          <w:numId w:val="4"/>
        </w:numPr>
        <w:ind w:left="1418" w:hanging="284"/>
        <w:rPr>
          <w:szCs w:val="24"/>
        </w:rPr>
      </w:pPr>
      <w:r w:rsidRPr="00E41F8A">
        <w:rPr>
          <w:szCs w:val="24"/>
        </w:rPr>
        <w:t>Making a difference for communities</w:t>
      </w:r>
    </w:p>
    <w:p w14:paraId="366A65AB" w14:textId="77777777" w:rsidR="008470E0" w:rsidRPr="00F52080" w:rsidRDefault="008470E0" w:rsidP="008470E0">
      <w:pPr>
        <w:numPr>
          <w:ilvl w:val="0"/>
          <w:numId w:val="4"/>
        </w:numPr>
        <w:ind w:left="1418" w:hanging="284"/>
        <w:rPr>
          <w:szCs w:val="24"/>
        </w:rPr>
      </w:pPr>
      <w:r w:rsidRPr="00E41F8A">
        <w:rPr>
          <w:szCs w:val="24"/>
        </w:rPr>
        <w:t>Making a difference for local business’s</w:t>
      </w:r>
    </w:p>
    <w:p w14:paraId="4D8144F4" w14:textId="1FBC3C76" w:rsidR="008470E0" w:rsidRPr="00150E56" w:rsidRDefault="008470E0" w:rsidP="00201C23">
      <w:pPr>
        <w:numPr>
          <w:ilvl w:val="0"/>
          <w:numId w:val="4"/>
        </w:numPr>
        <w:ind w:left="1418" w:hanging="284"/>
        <w:rPr>
          <w:szCs w:val="24"/>
        </w:rPr>
      </w:pPr>
      <w:r w:rsidRPr="00150E56">
        <w:rPr>
          <w:szCs w:val="24"/>
        </w:rPr>
        <w:t>Making a difference for families</w:t>
      </w:r>
    </w:p>
    <w:p w14:paraId="5514D939" w14:textId="6FCAE4D7" w:rsidR="00333FAA" w:rsidRDefault="008470E0" w:rsidP="000B7C66">
      <w:pPr>
        <w:pStyle w:val="Heading2"/>
        <w:spacing w:before="480" w:after="240"/>
      </w:pPr>
      <w:r>
        <w:t>S</w:t>
      </w:r>
      <w:r w:rsidR="00333FAA">
        <w:t>ection 3 - Statutory Officer Clearance</w:t>
      </w:r>
    </w:p>
    <w:p w14:paraId="3B5D52F9" w14:textId="233FC011" w:rsidR="00A66326" w:rsidRPr="00A66326" w:rsidRDefault="00A66326" w:rsidP="00A66326">
      <w:pPr>
        <w:rPr>
          <w:sz w:val="28"/>
        </w:rPr>
      </w:pPr>
      <w:r w:rsidRPr="00A66326">
        <w:rPr>
          <w:b/>
          <w:sz w:val="28"/>
        </w:rPr>
        <w:t xml:space="preserve">Statutory Officer:  </w:t>
      </w:r>
      <w:r w:rsidR="008470E0">
        <w:rPr>
          <w:b/>
          <w:sz w:val="28"/>
        </w:rPr>
        <w:t>Sharon Daniels</w:t>
      </w:r>
    </w:p>
    <w:p w14:paraId="06450070" w14:textId="3AED0A11" w:rsidR="00A66326" w:rsidRPr="00A66326" w:rsidRDefault="00A66326" w:rsidP="00A66326">
      <w:r w:rsidRPr="00A66326">
        <w:t>Signed on behalf o</w:t>
      </w:r>
      <w:r w:rsidR="008470E0">
        <w:t>f t</w:t>
      </w:r>
      <w:r w:rsidRPr="00A66326">
        <w:t>he Chief Financial Officer</w:t>
      </w:r>
    </w:p>
    <w:p w14:paraId="555021EF" w14:textId="183FA996" w:rsidR="00A66326" w:rsidRPr="00A66326" w:rsidRDefault="00A66326" w:rsidP="00A66326">
      <w:pPr>
        <w:spacing w:after="480"/>
        <w:rPr>
          <w:sz w:val="28"/>
        </w:rPr>
      </w:pPr>
      <w:r w:rsidRPr="00A66326">
        <w:rPr>
          <w:b/>
          <w:sz w:val="28"/>
        </w:rPr>
        <w:t xml:space="preserve">Date:  </w:t>
      </w:r>
      <w:r w:rsidR="008470E0">
        <w:rPr>
          <w:b/>
          <w:sz w:val="28"/>
        </w:rPr>
        <w:t>13 September 2021</w:t>
      </w:r>
    </w:p>
    <w:p w14:paraId="7E329E85" w14:textId="469BD6A7" w:rsidR="00A66326" w:rsidRPr="00A66326" w:rsidRDefault="00A66326" w:rsidP="00A66326">
      <w:pPr>
        <w:rPr>
          <w:sz w:val="28"/>
        </w:rPr>
      </w:pPr>
      <w:r w:rsidRPr="00A66326">
        <w:rPr>
          <w:b/>
          <w:sz w:val="28"/>
        </w:rPr>
        <w:t xml:space="preserve">Statutory Officer:  </w:t>
      </w:r>
      <w:r w:rsidR="008470E0">
        <w:rPr>
          <w:b/>
          <w:sz w:val="28"/>
        </w:rPr>
        <w:t>Jessica Farmer</w:t>
      </w:r>
    </w:p>
    <w:p w14:paraId="76F84634" w14:textId="7AA00CB2" w:rsidR="00A66326" w:rsidRPr="00A66326" w:rsidRDefault="00A66326" w:rsidP="00A66326">
      <w:r w:rsidRPr="00A66326">
        <w:t xml:space="preserve">Signed on behalf </w:t>
      </w:r>
      <w:proofErr w:type="spellStart"/>
      <w:r w:rsidRPr="00A66326">
        <w:t>o</w:t>
      </w:r>
      <w:proofErr w:type="spellEnd"/>
      <w:r w:rsidR="008470E0">
        <w:t xml:space="preserve"> </w:t>
      </w:r>
      <w:r w:rsidRPr="00A66326">
        <w:t>the Monitoring Officer</w:t>
      </w:r>
    </w:p>
    <w:p w14:paraId="1AC0D358" w14:textId="679C6E5B" w:rsidR="00A66326" w:rsidRPr="003313EA" w:rsidRDefault="00A66326" w:rsidP="00A66326">
      <w:pPr>
        <w:spacing w:after="480"/>
        <w:rPr>
          <w:sz w:val="28"/>
        </w:rPr>
      </w:pPr>
      <w:r w:rsidRPr="00A66326">
        <w:rPr>
          <w:b/>
          <w:sz w:val="28"/>
        </w:rPr>
        <w:t xml:space="preserve">Date:  </w:t>
      </w:r>
      <w:r w:rsidR="008470E0">
        <w:rPr>
          <w:b/>
          <w:sz w:val="28"/>
        </w:rPr>
        <w:t>14 September 2021</w:t>
      </w:r>
    </w:p>
    <w:p w14:paraId="31D8FA55" w14:textId="38D15260" w:rsidR="00BF5AFA" w:rsidRPr="00A66326" w:rsidRDefault="00BF5AFA" w:rsidP="00BF5AFA">
      <w:pPr>
        <w:rPr>
          <w:sz w:val="28"/>
        </w:rPr>
      </w:pPr>
      <w:r>
        <w:rPr>
          <w:b/>
          <w:sz w:val="28"/>
        </w:rPr>
        <w:t>Chief</w:t>
      </w:r>
      <w:r w:rsidRPr="00A66326">
        <w:rPr>
          <w:b/>
          <w:sz w:val="28"/>
        </w:rPr>
        <w:t xml:space="preserve"> Officer:  </w:t>
      </w:r>
      <w:r w:rsidR="008470E0">
        <w:rPr>
          <w:b/>
          <w:sz w:val="28"/>
        </w:rPr>
        <w:t>Dawn Calvert</w:t>
      </w:r>
    </w:p>
    <w:p w14:paraId="6C086558" w14:textId="4C17AC96" w:rsidR="00BF5AFA" w:rsidRPr="00A66326" w:rsidRDefault="00BF5AFA" w:rsidP="00BF5AFA">
      <w:r w:rsidRPr="00A66326">
        <w:t xml:space="preserve">Signed </w:t>
      </w:r>
      <w:r w:rsidR="008470E0">
        <w:t xml:space="preserve">on behalf of </w:t>
      </w:r>
      <w:r>
        <w:t xml:space="preserve">the Corporate </w:t>
      </w:r>
      <w:r w:rsidR="008470E0">
        <w:t>Director</w:t>
      </w:r>
    </w:p>
    <w:p w14:paraId="5F67CDF0" w14:textId="7E76985E" w:rsidR="00BF5AFA" w:rsidRPr="00A66326" w:rsidRDefault="00BF5AFA" w:rsidP="00BF5AFA">
      <w:pPr>
        <w:spacing w:after="480"/>
        <w:rPr>
          <w:sz w:val="28"/>
        </w:rPr>
      </w:pPr>
      <w:r w:rsidRPr="00A66326">
        <w:rPr>
          <w:b/>
          <w:sz w:val="28"/>
        </w:rPr>
        <w:t xml:space="preserve">Date:  </w:t>
      </w:r>
      <w:r w:rsidR="008470E0">
        <w:rPr>
          <w:b/>
          <w:sz w:val="28"/>
        </w:rPr>
        <w:t>13 September 2021</w:t>
      </w:r>
    </w:p>
    <w:p w14:paraId="2C546334" w14:textId="64CA2E74" w:rsidR="00BF5AFA" w:rsidRPr="00A66326" w:rsidRDefault="00BF5AFA" w:rsidP="00BF5AFA">
      <w:pPr>
        <w:rPr>
          <w:sz w:val="28"/>
        </w:rPr>
      </w:pPr>
      <w:r>
        <w:rPr>
          <w:b/>
          <w:sz w:val="28"/>
        </w:rPr>
        <w:t>Head of Procurement</w:t>
      </w:r>
      <w:r w:rsidRPr="00A66326">
        <w:rPr>
          <w:b/>
          <w:sz w:val="28"/>
        </w:rPr>
        <w:t xml:space="preserve">:  </w:t>
      </w:r>
      <w:proofErr w:type="spellStart"/>
      <w:r w:rsidR="008470E0">
        <w:rPr>
          <w:b/>
          <w:sz w:val="28"/>
        </w:rPr>
        <w:t>Nimesh</w:t>
      </w:r>
      <w:proofErr w:type="spellEnd"/>
      <w:r w:rsidR="008470E0">
        <w:rPr>
          <w:b/>
          <w:sz w:val="28"/>
        </w:rPr>
        <w:t xml:space="preserve"> Mehta</w:t>
      </w:r>
    </w:p>
    <w:p w14:paraId="3C6E94C3" w14:textId="6AE053A3" w:rsidR="00BF5AFA" w:rsidRPr="00A66326" w:rsidRDefault="00BF5AFA" w:rsidP="00BF5AFA">
      <w:r w:rsidRPr="00A66326">
        <w:t xml:space="preserve">Signed by the </w:t>
      </w:r>
      <w:r>
        <w:t>Head of Procurement</w:t>
      </w:r>
    </w:p>
    <w:p w14:paraId="7A9C1AFE" w14:textId="77777777" w:rsidR="008470E0" w:rsidRPr="00A66326" w:rsidRDefault="00BF5AFA" w:rsidP="008470E0">
      <w:pPr>
        <w:spacing w:after="480"/>
        <w:rPr>
          <w:sz w:val="28"/>
        </w:rPr>
      </w:pPr>
      <w:r w:rsidRPr="00A66326">
        <w:rPr>
          <w:b/>
          <w:sz w:val="28"/>
        </w:rPr>
        <w:t xml:space="preserve">Date:  </w:t>
      </w:r>
      <w:r w:rsidR="008470E0">
        <w:rPr>
          <w:b/>
          <w:sz w:val="28"/>
        </w:rPr>
        <w:t>13 September 2021</w:t>
      </w:r>
    </w:p>
    <w:p w14:paraId="113297A5" w14:textId="7123CE5E" w:rsidR="00BF5AFA" w:rsidRPr="00A66326" w:rsidRDefault="00BF5AFA" w:rsidP="00BF5AFA">
      <w:pPr>
        <w:rPr>
          <w:sz w:val="28"/>
        </w:rPr>
      </w:pPr>
      <w:r>
        <w:rPr>
          <w:b/>
          <w:sz w:val="28"/>
        </w:rPr>
        <w:lastRenderedPageBreak/>
        <w:t>Head of Internal Audit</w:t>
      </w:r>
      <w:r w:rsidRPr="00A66326">
        <w:rPr>
          <w:b/>
          <w:sz w:val="28"/>
        </w:rPr>
        <w:t xml:space="preserve">:  </w:t>
      </w:r>
      <w:r w:rsidR="008470E0">
        <w:rPr>
          <w:b/>
          <w:sz w:val="28"/>
        </w:rPr>
        <w:t>Susan Dixson</w:t>
      </w:r>
    </w:p>
    <w:p w14:paraId="5CF04A24" w14:textId="706ABECD" w:rsidR="00BF5AFA" w:rsidRPr="00A66326" w:rsidRDefault="00BF5AFA" w:rsidP="00BF5AFA">
      <w:r w:rsidRPr="00A66326">
        <w:t xml:space="preserve">Signed by the </w:t>
      </w:r>
      <w:r>
        <w:t>Head of Internal Audit</w:t>
      </w:r>
    </w:p>
    <w:p w14:paraId="4890C57F" w14:textId="77777777" w:rsidR="008470E0" w:rsidRPr="00A66326" w:rsidRDefault="00BF5AFA" w:rsidP="008470E0">
      <w:pPr>
        <w:spacing w:after="480"/>
        <w:rPr>
          <w:sz w:val="28"/>
        </w:rPr>
      </w:pPr>
      <w:r w:rsidRPr="00A66326">
        <w:rPr>
          <w:sz w:val="28"/>
        </w:rPr>
        <w:t>Date:</w:t>
      </w:r>
      <w:r w:rsidR="008470E0">
        <w:rPr>
          <w:sz w:val="28"/>
        </w:rPr>
        <w:t xml:space="preserve"> </w:t>
      </w:r>
      <w:r w:rsidR="008470E0">
        <w:rPr>
          <w:b/>
          <w:sz w:val="28"/>
        </w:rPr>
        <w:t>13 September 2021</w:t>
      </w:r>
    </w:p>
    <w:p w14:paraId="45A19EC7" w14:textId="59434FDF" w:rsidR="003313EA" w:rsidRPr="00435B5D" w:rsidRDefault="003313EA" w:rsidP="00BF5AFA">
      <w:pPr>
        <w:pStyle w:val="Heading2"/>
        <w:spacing w:before="480" w:after="240"/>
      </w:pPr>
      <w:r>
        <w:t>Mandatory Checks</w:t>
      </w:r>
    </w:p>
    <w:p w14:paraId="64551188" w14:textId="0A970DE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250439A5"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2CE4BCD4"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8470E0">
        <w:t>N/A</w:t>
      </w:r>
    </w:p>
    <w:p w14:paraId="1E71EB75" w14:textId="77777777" w:rsidR="00150E56" w:rsidRDefault="00150E56" w:rsidP="00842757">
      <w:pPr>
        <w:pStyle w:val="Heading2"/>
        <w:spacing w:before="480" w:after="240"/>
      </w:pPr>
    </w:p>
    <w:p w14:paraId="41E16C55" w14:textId="13682C23" w:rsidR="00333FAA" w:rsidRDefault="00333FAA" w:rsidP="00842757">
      <w:pPr>
        <w:pStyle w:val="Heading2"/>
        <w:spacing w:before="480" w:after="240"/>
      </w:pPr>
      <w:bookmarkStart w:id="9" w:name="_GoBack"/>
      <w:bookmarkEnd w:id="9"/>
      <w:r>
        <w:t xml:space="preserve">Section </w:t>
      </w:r>
      <w:r w:rsidR="00A20113">
        <w:t>4</w:t>
      </w:r>
      <w:r>
        <w:t xml:space="preserve"> - Contact Details and Background Papers</w:t>
      </w:r>
    </w:p>
    <w:p w14:paraId="405C735F" w14:textId="2F228BDC" w:rsidR="008470E0" w:rsidRPr="008470E0" w:rsidRDefault="00333FAA" w:rsidP="008470E0">
      <w:pPr>
        <w:pStyle w:val="Infotext"/>
        <w:rPr>
          <w:bCs/>
        </w:rPr>
      </w:pPr>
      <w:r w:rsidRPr="004E47FC">
        <w:rPr>
          <w:b/>
        </w:rPr>
        <w:t xml:space="preserve">Contact:  </w:t>
      </w:r>
      <w:r w:rsidR="008470E0" w:rsidRPr="008470E0">
        <w:rPr>
          <w:bCs/>
        </w:rPr>
        <w:t xml:space="preserve">Sharon Daniels, Head of Strategic and Technical Finance (Deputy S151), Telephone 020 8424 1332, </w:t>
      </w:r>
      <w:hyperlink r:id="rId16" w:history="1">
        <w:r w:rsidR="008470E0" w:rsidRPr="008470E0">
          <w:rPr>
            <w:rStyle w:val="Hyperlink"/>
            <w:bCs/>
          </w:rPr>
          <w:t>Sharon.Daniels@harrow.gov.uk</w:t>
        </w:r>
      </w:hyperlink>
      <w:r w:rsidR="008470E0" w:rsidRPr="008470E0">
        <w:rPr>
          <w:bCs/>
        </w:rPr>
        <w:t xml:space="preserve"> </w:t>
      </w:r>
    </w:p>
    <w:p w14:paraId="5B5C3A48" w14:textId="77777777" w:rsidR="008470E0" w:rsidRPr="009039A9" w:rsidRDefault="008470E0" w:rsidP="008470E0">
      <w:pPr>
        <w:pStyle w:val="Infotext"/>
        <w:rPr>
          <w:b/>
        </w:rPr>
      </w:pPr>
    </w:p>
    <w:p w14:paraId="77C58D4B" w14:textId="58973011" w:rsidR="00333FAA" w:rsidRDefault="00333FAA" w:rsidP="00CC18AC">
      <w:pPr>
        <w:pStyle w:val="Infotext"/>
        <w:spacing w:after="240"/>
        <w:rPr>
          <w:b/>
        </w:rPr>
      </w:pPr>
      <w:r w:rsidRPr="004E47FC">
        <w:rPr>
          <w:b/>
        </w:rPr>
        <w:t xml:space="preserve">Background Papers: </w:t>
      </w:r>
      <w:r w:rsidR="005808FB">
        <w:rPr>
          <w:b/>
        </w:rPr>
        <w:t xml:space="preserve"> </w:t>
      </w:r>
    </w:p>
    <w:p w14:paraId="33920E9F" w14:textId="49F7D570" w:rsidR="008470E0" w:rsidRPr="008470E0" w:rsidRDefault="004B4AC2" w:rsidP="008470E0">
      <w:pPr>
        <w:pStyle w:val="ListParagraph"/>
        <w:numPr>
          <w:ilvl w:val="0"/>
          <w:numId w:val="10"/>
        </w:numPr>
        <w:ind w:left="1276" w:hanging="1287"/>
        <w:rPr>
          <w:b/>
          <w:sz w:val="28"/>
          <w:szCs w:val="22"/>
        </w:rPr>
      </w:pPr>
      <w:hyperlink r:id="rId17" w:history="1">
        <w:r w:rsidR="008470E0" w:rsidRPr="008470E0">
          <w:rPr>
            <w:rStyle w:val="Hyperlink"/>
            <w:b/>
            <w:sz w:val="28"/>
            <w:szCs w:val="22"/>
          </w:rPr>
          <w:t>2021/22 Budget Report</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2F2F69DD" w:rsidR="000D4E36" w:rsidRPr="00ED6776" w:rsidRDefault="00842757" w:rsidP="008470E0">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58C7" w14:textId="77777777" w:rsidR="004B4AC2" w:rsidRDefault="004B4AC2">
      <w:r>
        <w:separator/>
      </w:r>
    </w:p>
  </w:endnote>
  <w:endnote w:type="continuationSeparator" w:id="0">
    <w:p w14:paraId="095024F0" w14:textId="77777777" w:rsidR="004B4AC2" w:rsidRDefault="004B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4B4AC2" w:rsidRPr="004F56C5" w:rsidRDefault="004B4AC2"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B808" w14:textId="77777777" w:rsidR="004B4AC2" w:rsidRDefault="004B4AC2">
      <w:r>
        <w:separator/>
      </w:r>
    </w:p>
  </w:footnote>
  <w:footnote w:type="continuationSeparator" w:id="0">
    <w:p w14:paraId="24B52E60" w14:textId="77777777" w:rsidR="004B4AC2" w:rsidRDefault="004B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4B4AC2" w:rsidRDefault="004B4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4B4AC2" w:rsidRDefault="004B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51"/>
    <w:multiLevelType w:val="multilevel"/>
    <w:tmpl w:val="5B483B0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3E212B7"/>
    <w:multiLevelType w:val="multilevel"/>
    <w:tmpl w:val="28967462"/>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4" w15:restartNumberingAfterBreak="0">
    <w:nsid w:val="3FC355B9"/>
    <w:multiLevelType w:val="multilevel"/>
    <w:tmpl w:val="D81AD606"/>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bullet"/>
      <w:lvlText w:val=""/>
      <w:lvlJc w:val="left"/>
      <w:pPr>
        <w:ind w:left="2444" w:hanging="720"/>
      </w:pPr>
      <w:rPr>
        <w:rFonts w:ascii="Symbol" w:hAnsi="Symbol"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7" w15:restartNumberingAfterBreak="0">
    <w:nsid w:val="4F57757E"/>
    <w:multiLevelType w:val="multilevel"/>
    <w:tmpl w:val="69845E7A"/>
    <w:lvl w:ilvl="0">
      <w:start w:val="3"/>
      <w:numFmt w:val="decimal"/>
      <w:lvlText w:val="%1"/>
      <w:lvlJc w:val="left"/>
      <w:pPr>
        <w:ind w:left="460" w:hanging="460"/>
      </w:pPr>
    </w:lvl>
    <w:lvl w:ilvl="1">
      <w:start w:val="20"/>
      <w:numFmt w:val="decimal"/>
      <w:lvlText w:val="%1.%2"/>
      <w:lvlJc w:val="left"/>
      <w:pPr>
        <w:ind w:left="1878" w:hanging="4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FFF32D2"/>
    <w:multiLevelType w:val="hybridMultilevel"/>
    <w:tmpl w:val="550AF50A"/>
    <w:lvl w:ilvl="0" w:tplc="725A6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F6625DC"/>
    <w:multiLevelType w:val="hybridMultilevel"/>
    <w:tmpl w:val="8C3A18C0"/>
    <w:lvl w:ilvl="0" w:tplc="F73EBBAA">
      <w:numFmt w:val="decimal"/>
      <w:lvlText w:val="2.%1"/>
      <w:lvlJc w:val="left"/>
      <w:pPr>
        <w:ind w:left="6882" w:hanging="360"/>
      </w:pPr>
      <w:rPr>
        <w:rFonts w:ascii="Arial" w:hAnsi="Arial" w:cs="Arial" w:hint="default"/>
        <w:b w:val="0"/>
        <w:color w:val="auto"/>
        <w:sz w:val="24"/>
        <w:szCs w:val="24"/>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3E4E1C"/>
    <w:multiLevelType w:val="hybridMultilevel"/>
    <w:tmpl w:val="18C833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2"/>
  </w:num>
  <w:num w:numId="6">
    <w:abstractNumId w:val="10"/>
  </w:num>
  <w:num w:numId="7">
    <w:abstractNumId w:val="6"/>
  </w:num>
  <w:num w:numId="8">
    <w:abstractNumId w:val="11"/>
  </w:num>
  <w:num w:numId="9">
    <w:abstractNumId w:val="2"/>
  </w:num>
  <w:num w:numId="10">
    <w:abstractNumId w:val="15"/>
  </w:num>
  <w:num w:numId="11">
    <w:abstractNumId w:val="13"/>
  </w:num>
  <w:num w:numId="12">
    <w:abstractNumId w:val="3"/>
  </w:num>
  <w:num w:numId="13">
    <w:abstractNumId w:val="7"/>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81B79"/>
    <w:rsid w:val="000929A6"/>
    <w:rsid w:val="000B5015"/>
    <w:rsid w:val="000B788F"/>
    <w:rsid w:val="000B7C66"/>
    <w:rsid w:val="000D4E36"/>
    <w:rsid w:val="000E62FE"/>
    <w:rsid w:val="00105B8A"/>
    <w:rsid w:val="001161E4"/>
    <w:rsid w:val="00125A26"/>
    <w:rsid w:val="001472A8"/>
    <w:rsid w:val="00150E5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C270D"/>
    <w:rsid w:val="003F3AFD"/>
    <w:rsid w:val="004076C8"/>
    <w:rsid w:val="004207E3"/>
    <w:rsid w:val="00421A4C"/>
    <w:rsid w:val="004238C2"/>
    <w:rsid w:val="00435B5D"/>
    <w:rsid w:val="004363F7"/>
    <w:rsid w:val="0044525C"/>
    <w:rsid w:val="004553F1"/>
    <w:rsid w:val="00471C1F"/>
    <w:rsid w:val="004809FA"/>
    <w:rsid w:val="004B4AC2"/>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470E0"/>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8470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470E0"/>
    <w:rPr>
      <w:rFonts w:ascii="Arial" w:hAnsi="Arial"/>
      <w:sz w:val="24"/>
      <w:lang w:eastAsia="en-US"/>
    </w:rPr>
  </w:style>
  <w:style w:type="character" w:customStyle="1" w:styleId="Heading5Char">
    <w:name w:val="Heading 5 Char"/>
    <w:basedOn w:val="DefaultParagraphFont"/>
    <w:link w:val="Heading5"/>
    <w:semiHidden/>
    <w:rsid w:val="008470E0"/>
    <w:rPr>
      <w:rFonts w:asciiTheme="majorHAnsi" w:eastAsiaTheme="majorEastAsia" w:hAnsiTheme="majorHAnsi" w:cstheme="majorBidi"/>
      <w:color w:val="243F60" w:themeColor="accent1" w:themeShade="7F"/>
      <w:sz w:val="24"/>
      <w:lang w:eastAsia="en-US"/>
    </w:rPr>
  </w:style>
  <w:style w:type="character" w:styleId="CommentReference">
    <w:name w:val="annotation reference"/>
    <w:basedOn w:val="DefaultParagraphFont"/>
    <w:rsid w:val="008470E0"/>
    <w:rPr>
      <w:sz w:val="16"/>
      <w:szCs w:val="16"/>
    </w:rPr>
  </w:style>
  <w:style w:type="paragraph" w:styleId="CommentText">
    <w:name w:val="annotation text"/>
    <w:basedOn w:val="Normal"/>
    <w:link w:val="CommentTextChar"/>
    <w:rsid w:val="008470E0"/>
    <w:rPr>
      <w:sz w:val="20"/>
    </w:rPr>
  </w:style>
  <w:style w:type="character" w:customStyle="1" w:styleId="CommentTextChar">
    <w:name w:val="Comment Text Char"/>
    <w:basedOn w:val="DefaultParagraphFont"/>
    <w:link w:val="CommentText"/>
    <w:rsid w:val="008470E0"/>
    <w:rPr>
      <w:rFonts w:ascii="Arial" w:hAnsi="Arial"/>
      <w:lang w:eastAsia="en-US"/>
    </w:rPr>
  </w:style>
  <w:style w:type="paragraph" w:styleId="CommentSubject">
    <w:name w:val="annotation subject"/>
    <w:basedOn w:val="CommentText"/>
    <w:next w:val="CommentText"/>
    <w:link w:val="CommentSubjectChar"/>
    <w:rsid w:val="008470E0"/>
    <w:rPr>
      <w:b/>
      <w:bCs/>
    </w:rPr>
  </w:style>
  <w:style w:type="character" w:customStyle="1" w:styleId="CommentSubjectChar">
    <w:name w:val="Comment Subject Char"/>
    <w:basedOn w:val="CommentTextChar"/>
    <w:link w:val="CommentSubject"/>
    <w:rsid w:val="008470E0"/>
    <w:rPr>
      <w:rFonts w:ascii="Arial" w:hAnsi="Arial"/>
      <w:b/>
      <w:bCs/>
      <w:lang w:eastAsia="en-US"/>
    </w:rPr>
  </w:style>
  <w:style w:type="paragraph" w:styleId="Revision">
    <w:name w:val="Revision"/>
    <w:hidden/>
    <w:uiPriority w:val="99"/>
    <w:semiHidden/>
    <w:rsid w:val="008470E0"/>
    <w:rPr>
      <w:rFonts w:ascii="Arial" w:hAnsi="Arial"/>
      <w:sz w:val="24"/>
      <w:lang w:eastAsia="en-US"/>
    </w:rPr>
  </w:style>
  <w:style w:type="paragraph" w:styleId="BodyText3">
    <w:name w:val="Body Text 3"/>
    <w:basedOn w:val="Normal"/>
    <w:link w:val="BodyText3Char"/>
    <w:rsid w:val="008470E0"/>
    <w:pPr>
      <w:spacing w:after="120"/>
    </w:pPr>
    <w:rPr>
      <w:sz w:val="16"/>
      <w:szCs w:val="16"/>
    </w:rPr>
  </w:style>
  <w:style w:type="character" w:customStyle="1" w:styleId="BodyText3Char">
    <w:name w:val="Body Text 3 Char"/>
    <w:basedOn w:val="DefaultParagraphFont"/>
    <w:link w:val="BodyText3"/>
    <w:rsid w:val="008470E0"/>
    <w:rPr>
      <w:rFonts w:ascii="Arial" w:hAnsi="Arial"/>
      <w:sz w:val="16"/>
      <w:szCs w:val="16"/>
      <w:lang w:eastAsia="en-US"/>
    </w:rPr>
  </w:style>
  <w:style w:type="paragraph" w:styleId="BodyTextIndent">
    <w:name w:val="Body Text Indent"/>
    <w:basedOn w:val="Normal"/>
    <w:link w:val="BodyTextIndentChar"/>
    <w:rsid w:val="008470E0"/>
    <w:pPr>
      <w:spacing w:after="120"/>
      <w:ind w:left="283"/>
    </w:pPr>
  </w:style>
  <w:style w:type="character" w:customStyle="1" w:styleId="BodyTextIndentChar">
    <w:name w:val="Body Text Indent Char"/>
    <w:basedOn w:val="DefaultParagraphFont"/>
    <w:link w:val="BodyTextIndent"/>
    <w:rsid w:val="008470E0"/>
    <w:rPr>
      <w:rFonts w:ascii="Arial" w:hAnsi="Arial"/>
      <w:sz w:val="24"/>
      <w:lang w:eastAsia="en-US"/>
    </w:rPr>
  </w:style>
  <w:style w:type="character" w:customStyle="1" w:styleId="FooterChar">
    <w:name w:val="Footer Char"/>
    <w:basedOn w:val="DefaultParagraphFont"/>
    <w:link w:val="Footer"/>
    <w:uiPriority w:val="99"/>
    <w:rsid w:val="008470E0"/>
    <w:rPr>
      <w:rFonts w:ascii="Arial" w:hAnsi="Arial"/>
      <w:sz w:val="24"/>
      <w:szCs w:val="24"/>
      <w:lang w:val="en-US" w:eastAsia="en-US"/>
    </w:rPr>
  </w:style>
  <w:style w:type="table" w:customStyle="1" w:styleId="TableGrid1">
    <w:name w:val="Table Grid1"/>
    <w:basedOn w:val="TableNormal"/>
    <w:next w:val="TableGrid"/>
    <w:uiPriority w:val="59"/>
    <w:rsid w:val="00847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470E0"/>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8470E0"/>
    <w:rPr>
      <w:color w:val="605E5C"/>
      <w:shd w:val="clear" w:color="auto" w:fill="E1DFDD"/>
    </w:rPr>
  </w:style>
  <w:style w:type="character" w:customStyle="1" w:styleId="xnormaltextrun">
    <w:name w:val="x_normaltextrun"/>
    <w:basedOn w:val="DefaultParagraphFont"/>
    <w:rsid w:val="008470E0"/>
  </w:style>
  <w:style w:type="character" w:customStyle="1" w:styleId="xeop">
    <w:name w:val="x_eop"/>
    <w:basedOn w:val="DefaultParagraphFont"/>
    <w:rsid w:val="008470E0"/>
  </w:style>
  <w:style w:type="paragraph" w:styleId="NoSpacing">
    <w:name w:val="No Spacing"/>
    <w:uiPriority w:val="1"/>
    <w:qFormat/>
    <w:rsid w:val="008470E0"/>
    <w:rPr>
      <w:rFonts w:ascii="Calibri" w:eastAsia="Calibri" w:hAnsi="Calibri"/>
      <w:sz w:val="22"/>
      <w:szCs w:val="22"/>
      <w:lang w:eastAsia="en-US"/>
    </w:rPr>
  </w:style>
  <w:style w:type="character" w:customStyle="1" w:styleId="HeaderChar">
    <w:name w:val="Header Char"/>
    <w:basedOn w:val="DefaultParagraphFont"/>
    <w:link w:val="Header"/>
    <w:uiPriority w:val="99"/>
    <w:rsid w:val="008470E0"/>
    <w:rPr>
      <w:rFonts w:ascii="Arial" w:hAnsi="Arial"/>
      <w:sz w:val="24"/>
      <w:lang w:eastAsia="en-US"/>
    </w:rPr>
  </w:style>
  <w:style w:type="character" w:styleId="UnresolvedMention">
    <w:name w:val="Unresolved Mention"/>
    <w:basedOn w:val="DefaultParagraphFont"/>
    <w:uiPriority w:val="99"/>
    <w:semiHidden/>
    <w:unhideWhenUsed/>
    <w:rsid w:val="0084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oderngov.harrow.gov.uk/documents/s169323/Final%20202122%20Budget%20Report%20February%20Cabinet-1.pdf" TargetMode="External"/><Relationship Id="rId2" Type="http://schemas.openxmlformats.org/officeDocument/2006/relationships/customXml" Target="../customXml/item2.xml"/><Relationship Id="rId16" Type="http://schemas.openxmlformats.org/officeDocument/2006/relationships/hyperlink" Target="mailto:Sharon.Daniels@harro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e48e9339-ef40-4192-ab59-a15ba5582753"/>
    <ds:schemaRef ds:uri="http://schemas.openxmlformats.org/package/2006/metadata/core-properties"/>
    <ds:schemaRef ds:uri="http://purl.org/dc/terms/"/>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A54F73C3-31D2-4499-9DDD-F412733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7498</Words>
  <Characters>39408</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46813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4</cp:revision>
  <cp:lastPrinted>2014-10-31T16:34:00Z</cp:lastPrinted>
  <dcterms:created xsi:type="dcterms:W3CDTF">2021-09-14T16:19:00Z</dcterms:created>
  <dcterms:modified xsi:type="dcterms:W3CDTF">2021-09-14T16:51:00Z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